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5C7D" w14:textId="77777777" w:rsidR="000C19AB" w:rsidRPr="001A315A" w:rsidRDefault="000C19AB" w:rsidP="000001CE">
      <w:pPr>
        <w:spacing w:after="0" w:line="240" w:lineRule="auto"/>
        <w:outlineLvl w:val="0"/>
        <w:rPr>
          <w:b/>
        </w:rPr>
      </w:pPr>
      <w:r w:rsidRPr="004A12C4">
        <w:rPr>
          <w:b/>
          <w:noProof/>
          <w:lang w:eastAsia="fr-FR"/>
        </w:rPr>
        <w:drawing>
          <wp:anchor distT="0" distB="0" distL="0" distR="0" simplePos="0" relativeHeight="251659264" behindDoc="0" locked="0" layoutInCell="1" allowOverlap="1" wp14:anchorId="73E84C25" wp14:editId="31BE0D92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15A">
        <w:rPr>
          <w:b/>
        </w:rPr>
        <w:t>CLIENT EDUCATION HANDOUT</w:t>
      </w:r>
    </w:p>
    <w:p w14:paraId="2E2C0A8B" w14:textId="77777777" w:rsidR="000C19AB" w:rsidRPr="001A315A" w:rsidRDefault="000C19AB" w:rsidP="00FC7CA8">
      <w:pPr>
        <w:spacing w:after="0" w:line="240" w:lineRule="auto"/>
        <w:rPr>
          <w:b/>
        </w:rPr>
      </w:pPr>
    </w:p>
    <w:p w14:paraId="6A9D35E2" w14:textId="77777777" w:rsidR="000C19AB" w:rsidRPr="001A315A" w:rsidRDefault="000C19AB" w:rsidP="000001CE">
      <w:pPr>
        <w:pStyle w:val="Contactinfo"/>
        <w:outlineLvl w:val="0"/>
        <w:rPr>
          <w:b/>
        </w:rPr>
      </w:pPr>
      <w:r w:rsidRPr="001A315A">
        <w:rPr>
          <w:b/>
        </w:rPr>
        <w:t>Customer Name, Street Address, City, State, Zip code</w:t>
      </w:r>
    </w:p>
    <w:p w14:paraId="2C291291" w14:textId="77777777" w:rsidR="000C19AB" w:rsidRPr="001A315A" w:rsidRDefault="000C19AB" w:rsidP="000001CE">
      <w:pPr>
        <w:spacing w:after="0" w:line="240" w:lineRule="auto"/>
        <w:outlineLvl w:val="0"/>
        <w:rPr>
          <w:b/>
        </w:rPr>
      </w:pPr>
      <w:r w:rsidRPr="001A315A">
        <w:rPr>
          <w:b/>
        </w:rPr>
        <w:t>Phone number, Alt. phone number, Fax number, e-mail address, web site</w:t>
      </w:r>
      <w:r w:rsidRPr="001A315A">
        <w:rPr>
          <w:b/>
        </w:rPr>
        <w:tab/>
      </w:r>
      <w:r w:rsidRPr="001A315A">
        <w:rPr>
          <w:b/>
        </w:rPr>
        <w:tab/>
      </w:r>
    </w:p>
    <w:p w14:paraId="46B094AB" w14:textId="77777777" w:rsidR="00727D56" w:rsidRDefault="00727D56" w:rsidP="000001CE">
      <w:pPr>
        <w:spacing w:after="0" w:line="240" w:lineRule="auto"/>
        <w:outlineLvl w:val="0"/>
      </w:pPr>
    </w:p>
    <w:p w14:paraId="04AA65B5" w14:textId="1470CE8C" w:rsidR="000C19AB" w:rsidRPr="00727D56" w:rsidRDefault="000C19AB" w:rsidP="000001CE">
      <w:pPr>
        <w:spacing w:after="0" w:line="240" w:lineRule="auto"/>
        <w:outlineLvl w:val="0"/>
        <w:rPr>
          <w:b/>
          <w:sz w:val="36"/>
          <w:szCs w:val="36"/>
        </w:rPr>
      </w:pPr>
      <w:r w:rsidRPr="00727D56">
        <w:rPr>
          <w:b/>
          <w:sz w:val="36"/>
          <w:szCs w:val="36"/>
        </w:rPr>
        <w:t xml:space="preserve">Adrenal </w:t>
      </w:r>
      <w:r w:rsidR="001D4033" w:rsidRPr="00727D56">
        <w:rPr>
          <w:b/>
          <w:sz w:val="36"/>
          <w:szCs w:val="36"/>
        </w:rPr>
        <w:t>Insufficiency</w:t>
      </w:r>
    </w:p>
    <w:p w14:paraId="69272397" w14:textId="77777777" w:rsidR="00727D56" w:rsidRDefault="00727D56" w:rsidP="000001CE">
      <w:pPr>
        <w:spacing w:after="0" w:line="240" w:lineRule="auto"/>
        <w:outlineLvl w:val="0"/>
        <w:rPr>
          <w:b/>
          <w:sz w:val="28"/>
          <w:szCs w:val="28"/>
        </w:rPr>
      </w:pPr>
    </w:p>
    <w:p w14:paraId="33703AA6" w14:textId="6477F60C" w:rsidR="006769FF" w:rsidRPr="001A315A" w:rsidRDefault="006769FF" w:rsidP="000001CE">
      <w:pPr>
        <w:spacing w:after="0" w:line="240" w:lineRule="auto"/>
        <w:outlineLvl w:val="0"/>
        <w:rPr>
          <w:u w:val="single"/>
        </w:rPr>
      </w:pPr>
      <w:r w:rsidRPr="00727D56">
        <w:rPr>
          <w:b/>
          <w:sz w:val="28"/>
          <w:szCs w:val="28"/>
        </w:rPr>
        <w:t>Basics</w:t>
      </w:r>
    </w:p>
    <w:p w14:paraId="1504DC9C" w14:textId="381BE3E8" w:rsidR="006769FF" w:rsidRPr="001A315A" w:rsidRDefault="006769FF" w:rsidP="004A12C4">
      <w:pPr>
        <w:spacing w:after="0" w:line="240" w:lineRule="auto"/>
        <w:rPr>
          <w:b/>
        </w:rPr>
      </w:pPr>
      <w:r w:rsidRPr="001A315A">
        <w:rPr>
          <w:b/>
        </w:rPr>
        <w:t>Overview</w:t>
      </w:r>
    </w:p>
    <w:p w14:paraId="768FFBF3" w14:textId="07157BC9" w:rsidR="006769FF" w:rsidRPr="001A315A" w:rsidRDefault="007D7948" w:rsidP="00FC7CA8">
      <w:pPr>
        <w:spacing w:after="0" w:line="240" w:lineRule="auto"/>
      </w:pPr>
      <w:r w:rsidRPr="001A315A">
        <w:t xml:space="preserve">• </w:t>
      </w:r>
      <w:r w:rsidR="00DF147B" w:rsidRPr="001A315A">
        <w:t xml:space="preserve">Adrenal insufficiency </w:t>
      </w:r>
      <w:r w:rsidR="008B0002" w:rsidRPr="001A315A">
        <w:t xml:space="preserve">(AI) </w:t>
      </w:r>
      <w:r w:rsidR="00DF147B" w:rsidRPr="001A315A">
        <w:t xml:space="preserve">is also called </w:t>
      </w:r>
      <w:r w:rsidR="002A0F6E" w:rsidRPr="001A315A">
        <w:t>a</w:t>
      </w:r>
      <w:r w:rsidR="00DF147B" w:rsidRPr="001A315A">
        <w:t>drenal exhaustion or hypoadrenocorticism</w:t>
      </w:r>
    </w:p>
    <w:p w14:paraId="0CC18AB9" w14:textId="5E3A7581" w:rsidR="008B0002" w:rsidRPr="001A315A" w:rsidRDefault="007D7948" w:rsidP="00FC7CA8">
      <w:pPr>
        <w:spacing w:after="0" w:line="240" w:lineRule="auto"/>
      </w:pPr>
      <w:r w:rsidRPr="001A315A">
        <w:t xml:space="preserve">• </w:t>
      </w:r>
      <w:r w:rsidR="00DF147B" w:rsidRPr="001A315A">
        <w:t>The disease is associated with a decrease</w:t>
      </w:r>
      <w:r w:rsidR="002A72D9" w:rsidRPr="001A315A">
        <w:t>d</w:t>
      </w:r>
      <w:r w:rsidR="00DF147B" w:rsidRPr="001A315A">
        <w:t xml:space="preserve"> production of</w:t>
      </w:r>
      <w:r w:rsidR="002A0F6E" w:rsidRPr="001A315A">
        <w:t xml:space="preserve"> steroid</w:t>
      </w:r>
      <w:r w:rsidR="00DF147B" w:rsidRPr="001A315A">
        <w:t xml:space="preserve"> hormones f</w:t>
      </w:r>
      <w:r w:rsidR="002A72D9" w:rsidRPr="001A315A">
        <w:t>rom</w:t>
      </w:r>
      <w:r w:rsidR="00DF147B" w:rsidRPr="001A315A">
        <w:t xml:space="preserve"> the adrenal cortex</w:t>
      </w:r>
    </w:p>
    <w:p w14:paraId="77F38EFB" w14:textId="03BACB81" w:rsidR="008B0002" w:rsidRPr="001A315A" w:rsidRDefault="007D7948" w:rsidP="00FC7CA8">
      <w:pPr>
        <w:spacing w:after="0" w:line="240" w:lineRule="auto"/>
      </w:pPr>
      <w:r w:rsidRPr="001A315A">
        <w:t xml:space="preserve">• </w:t>
      </w:r>
      <w:r w:rsidR="008B0002" w:rsidRPr="001A315A">
        <w:t xml:space="preserve">In most cases the insufficiency is transient (secondary AI) and associated with a concurrent critical </w:t>
      </w:r>
      <w:r w:rsidR="008F593C" w:rsidRPr="001A315A">
        <w:t>illness</w:t>
      </w:r>
    </w:p>
    <w:p w14:paraId="51DCD01B" w14:textId="77777777" w:rsidR="00727D56" w:rsidRDefault="00727D56" w:rsidP="000001CE">
      <w:pPr>
        <w:spacing w:after="0" w:line="240" w:lineRule="auto"/>
        <w:outlineLvl w:val="0"/>
        <w:rPr>
          <w:b/>
        </w:rPr>
      </w:pPr>
    </w:p>
    <w:p w14:paraId="6D116EFC" w14:textId="1D8D5404" w:rsidR="006769FF" w:rsidRPr="001A315A" w:rsidRDefault="006769FF" w:rsidP="000001CE">
      <w:pPr>
        <w:spacing w:after="0" w:line="240" w:lineRule="auto"/>
        <w:outlineLvl w:val="0"/>
        <w:rPr>
          <w:b/>
        </w:rPr>
      </w:pPr>
      <w:r w:rsidRPr="001A315A">
        <w:rPr>
          <w:b/>
        </w:rPr>
        <w:t>Signalment</w:t>
      </w:r>
    </w:p>
    <w:p w14:paraId="50DBBD92" w14:textId="4B0B8557" w:rsidR="006769FF" w:rsidRPr="001A315A" w:rsidRDefault="007D7948" w:rsidP="00FC7CA8">
      <w:pPr>
        <w:spacing w:after="0" w:line="240" w:lineRule="auto"/>
      </w:pPr>
      <w:r w:rsidRPr="001A315A">
        <w:t xml:space="preserve">• </w:t>
      </w:r>
      <w:r w:rsidR="008B0002" w:rsidRPr="001A315A">
        <w:t>Secondary AI is most common</w:t>
      </w:r>
      <w:r w:rsidR="008F593C" w:rsidRPr="001A315A">
        <w:t>ly diagnosed</w:t>
      </w:r>
      <w:r w:rsidR="008B0002" w:rsidRPr="001A315A">
        <w:t xml:space="preserve"> in foals</w:t>
      </w:r>
      <w:r w:rsidR="008F593C" w:rsidRPr="001A315A">
        <w:t xml:space="preserve">, especially premature </w:t>
      </w:r>
      <w:r w:rsidR="002A0F6E" w:rsidRPr="001A315A">
        <w:t xml:space="preserve">and/or septic </w:t>
      </w:r>
      <w:r w:rsidR="008F593C" w:rsidRPr="001A315A">
        <w:t>foals</w:t>
      </w:r>
    </w:p>
    <w:p w14:paraId="190465FB" w14:textId="14074A8E" w:rsidR="008B0002" w:rsidRPr="001A315A" w:rsidRDefault="007D7948" w:rsidP="00FC7CA8">
      <w:r w:rsidRPr="001A315A">
        <w:t xml:space="preserve">• </w:t>
      </w:r>
      <w:r w:rsidR="002A0F6E" w:rsidRPr="001A315A">
        <w:t>There is n</w:t>
      </w:r>
      <w:r w:rsidR="008B0002" w:rsidRPr="001A315A">
        <w:t>o predilection for sex, age</w:t>
      </w:r>
      <w:r w:rsidR="000C7091" w:rsidRPr="001A315A">
        <w:t>,</w:t>
      </w:r>
      <w:r w:rsidR="008B0002" w:rsidRPr="001A315A">
        <w:t xml:space="preserve"> or breed when occurring in adult</w:t>
      </w:r>
      <w:r w:rsidR="008F593C" w:rsidRPr="001A315A">
        <w:t xml:space="preserve"> horses</w:t>
      </w:r>
    </w:p>
    <w:p w14:paraId="3196AA79" w14:textId="292E30D8" w:rsidR="006769FF" w:rsidRPr="001A315A" w:rsidRDefault="006769FF" w:rsidP="000001CE">
      <w:pPr>
        <w:spacing w:after="0" w:line="240" w:lineRule="auto"/>
        <w:outlineLvl w:val="0"/>
        <w:rPr>
          <w:b/>
        </w:rPr>
      </w:pPr>
      <w:r w:rsidRPr="001A315A">
        <w:rPr>
          <w:b/>
        </w:rPr>
        <w:t>Signs</w:t>
      </w:r>
    </w:p>
    <w:p w14:paraId="7C16BCAB" w14:textId="6F6F39BD" w:rsidR="008F593C" w:rsidRPr="001A315A" w:rsidRDefault="008F593C" w:rsidP="00FC7CA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</w:pPr>
      <w:r w:rsidRPr="001A315A">
        <w:t>• In acute cases</w:t>
      </w:r>
      <w:r w:rsidR="000C7091" w:rsidRPr="001A315A">
        <w:t>—</w:t>
      </w:r>
      <w:r w:rsidRPr="001A315A">
        <w:t>signs of septic shock, including fever or hypothermia, pale mucous membranes, weakness, hypotension, hemoconcentration, cardiovascular collapse, and death</w:t>
      </w:r>
    </w:p>
    <w:p w14:paraId="0F50EEB9" w14:textId="78936B12" w:rsidR="008F593C" w:rsidRPr="001A315A" w:rsidRDefault="008F593C" w:rsidP="00FC7CA8">
      <w:pPr>
        <w:widowControl w:val="0"/>
        <w:tabs>
          <w:tab w:val="left" w:pos="154"/>
        </w:tabs>
        <w:autoSpaceDE w:val="0"/>
        <w:autoSpaceDN w:val="0"/>
        <w:adjustRightInd w:val="0"/>
        <w:spacing w:after="0" w:line="240" w:lineRule="auto"/>
      </w:pPr>
      <w:r w:rsidRPr="001A315A">
        <w:t xml:space="preserve">• In </w:t>
      </w:r>
      <w:r w:rsidR="002A0F6E" w:rsidRPr="001A315A">
        <w:t>c</w:t>
      </w:r>
      <w:r w:rsidRPr="001A315A">
        <w:t>hronic case</w:t>
      </w:r>
      <w:r w:rsidR="002A0F6E" w:rsidRPr="001A315A">
        <w:t>s</w:t>
      </w:r>
      <w:r w:rsidR="000C7091" w:rsidRPr="001A315A">
        <w:t>—</w:t>
      </w:r>
      <w:r w:rsidRPr="001A315A">
        <w:t>depression, loss of appetite, weight loss, poor haircoat, exercise intolerance, excessive drinking/urination, mild abdominal pain, salt craving, and diarrhea</w:t>
      </w:r>
    </w:p>
    <w:p w14:paraId="6CFFC0F1" w14:textId="77777777" w:rsidR="00727D56" w:rsidRDefault="00727D56" w:rsidP="000001CE">
      <w:pPr>
        <w:spacing w:after="0" w:line="240" w:lineRule="auto"/>
        <w:outlineLvl w:val="0"/>
        <w:rPr>
          <w:b/>
        </w:rPr>
      </w:pPr>
    </w:p>
    <w:p w14:paraId="54947D6A" w14:textId="1F286D8F" w:rsidR="006769FF" w:rsidRPr="001A315A" w:rsidRDefault="000B25B8" w:rsidP="000001CE">
      <w:pPr>
        <w:spacing w:after="0" w:line="240" w:lineRule="auto"/>
        <w:outlineLvl w:val="0"/>
        <w:rPr>
          <w:b/>
        </w:rPr>
      </w:pPr>
      <w:r w:rsidRPr="001A315A">
        <w:rPr>
          <w:b/>
        </w:rPr>
        <w:t>Causes</w:t>
      </w:r>
    </w:p>
    <w:p w14:paraId="5F9C2199" w14:textId="5292C50A" w:rsidR="008F593C" w:rsidRPr="001A315A" w:rsidRDefault="008F593C" w:rsidP="00FC7CA8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</w:pPr>
      <w:r w:rsidRPr="001A315A">
        <w:t>• H</w:t>
      </w:r>
      <w:r w:rsidR="00EB5EF6" w:rsidRPr="001A315A">
        <w:t>ypothalamic</w:t>
      </w:r>
      <w:r w:rsidR="004C36A9" w:rsidRPr="001A315A">
        <w:t>–</w:t>
      </w:r>
      <w:r w:rsidR="00EB5EF6" w:rsidRPr="001A315A">
        <w:t>pituitary</w:t>
      </w:r>
      <w:r w:rsidR="004C36A9" w:rsidRPr="001A315A">
        <w:t>–</w:t>
      </w:r>
      <w:r w:rsidR="00EB5EF6" w:rsidRPr="001A315A">
        <w:t>adrenal (HPA) axis</w:t>
      </w:r>
      <w:r w:rsidRPr="001A315A">
        <w:t xml:space="preserve"> immaturity </w:t>
      </w:r>
      <w:r w:rsidR="00EB5EF6" w:rsidRPr="001A315A">
        <w:t>associated with</w:t>
      </w:r>
      <w:r w:rsidRPr="001A315A">
        <w:t xml:space="preserve"> prematurity</w:t>
      </w:r>
      <w:r w:rsidR="002A0F6E" w:rsidRPr="001A315A">
        <w:t xml:space="preserve"> </w:t>
      </w:r>
      <w:r w:rsidRPr="001A315A">
        <w:t>in neonatal foals</w:t>
      </w:r>
    </w:p>
    <w:p w14:paraId="03C1DF79" w14:textId="639DF290" w:rsidR="008F593C" w:rsidRPr="001A315A" w:rsidRDefault="008F593C" w:rsidP="00FC7CA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</w:pPr>
      <w:r w:rsidRPr="001A315A">
        <w:t>• HPA axis suppression and/or adrenal hemorrhage and necrosis subsequent to systemic inflammatory response or sepsis/septic shock</w:t>
      </w:r>
    </w:p>
    <w:p w14:paraId="69816204" w14:textId="77777777" w:rsidR="00727D56" w:rsidRDefault="00727D56" w:rsidP="000001CE">
      <w:pPr>
        <w:spacing w:after="0" w:line="240" w:lineRule="auto"/>
        <w:outlineLvl w:val="0"/>
        <w:rPr>
          <w:b/>
        </w:rPr>
      </w:pPr>
    </w:p>
    <w:p w14:paraId="00DAD434" w14:textId="2A99CE05" w:rsidR="000B25B8" w:rsidRPr="004A12C4" w:rsidRDefault="000B25B8" w:rsidP="000001CE">
      <w:pPr>
        <w:spacing w:after="0" w:line="240" w:lineRule="auto"/>
        <w:outlineLvl w:val="0"/>
        <w:rPr>
          <w:b/>
        </w:rPr>
      </w:pPr>
      <w:r w:rsidRPr="004A12C4">
        <w:rPr>
          <w:b/>
        </w:rPr>
        <w:t>Risk Factors</w:t>
      </w:r>
    </w:p>
    <w:p w14:paraId="660B8AE8" w14:textId="795E2DDC" w:rsidR="00EB5EF6" w:rsidRPr="001A315A" w:rsidRDefault="007D7948" w:rsidP="00FC7CA8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</w:pPr>
      <w:r w:rsidRPr="001A315A">
        <w:t xml:space="preserve">• </w:t>
      </w:r>
      <w:r w:rsidR="00EB5EF6" w:rsidRPr="001A315A">
        <w:t>Chronic administration of glucocorticoids</w:t>
      </w:r>
      <w:r w:rsidR="002A0F6E" w:rsidRPr="001A315A">
        <w:t xml:space="preserve"> (steroids)</w:t>
      </w:r>
      <w:r w:rsidR="00EB5EF6" w:rsidRPr="001A315A">
        <w:t xml:space="preserve">, exogenous </w:t>
      </w:r>
      <w:r w:rsidR="004C36A9" w:rsidRPr="001A315A">
        <w:t>adrenocorticotropic hormone (</w:t>
      </w:r>
      <w:r w:rsidR="00EB5EF6" w:rsidRPr="001A315A">
        <w:t>ACTH</w:t>
      </w:r>
      <w:r w:rsidR="004C36A9" w:rsidRPr="001A315A">
        <w:t>)</w:t>
      </w:r>
      <w:r w:rsidR="00EB5EF6" w:rsidRPr="001A315A">
        <w:t>, or anabolic steroids</w:t>
      </w:r>
    </w:p>
    <w:p w14:paraId="63DCD314" w14:textId="2D124656" w:rsidR="00EB5EF6" w:rsidRPr="001A315A" w:rsidRDefault="007D7948" w:rsidP="00FC7CA8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</w:pPr>
      <w:r w:rsidRPr="001A315A">
        <w:t xml:space="preserve">• </w:t>
      </w:r>
      <w:r w:rsidR="00EB5EF6" w:rsidRPr="001A315A">
        <w:t>Prematurity</w:t>
      </w:r>
      <w:r w:rsidR="00FC7CA8" w:rsidRPr="001A315A">
        <w:t xml:space="preserve"> in foals</w:t>
      </w:r>
    </w:p>
    <w:p w14:paraId="6C2CF7AD" w14:textId="77777777" w:rsidR="00727D56" w:rsidRDefault="00727D56" w:rsidP="000001CE">
      <w:pPr>
        <w:spacing w:after="0" w:line="240" w:lineRule="auto"/>
        <w:outlineLvl w:val="0"/>
        <w:rPr>
          <w:b/>
          <w:sz w:val="28"/>
          <w:szCs w:val="28"/>
        </w:rPr>
      </w:pPr>
    </w:p>
    <w:p w14:paraId="276DBAC4" w14:textId="239A293E" w:rsidR="006769FF" w:rsidRPr="001A315A" w:rsidRDefault="000B25B8" w:rsidP="000001CE">
      <w:pPr>
        <w:spacing w:after="0" w:line="240" w:lineRule="auto"/>
        <w:outlineLvl w:val="0"/>
        <w:rPr>
          <w:b/>
        </w:rPr>
      </w:pPr>
      <w:r w:rsidRPr="00727D56">
        <w:rPr>
          <w:b/>
          <w:sz w:val="28"/>
          <w:szCs w:val="28"/>
        </w:rPr>
        <w:t>Treatment</w:t>
      </w:r>
    </w:p>
    <w:p w14:paraId="79CA6862" w14:textId="28E59B2A" w:rsidR="006A2A4B" w:rsidRPr="004A12C4" w:rsidRDefault="000B25B8" w:rsidP="000001CE">
      <w:pPr>
        <w:spacing w:after="0" w:line="240" w:lineRule="auto"/>
        <w:outlineLvl w:val="0"/>
        <w:rPr>
          <w:b/>
        </w:rPr>
      </w:pPr>
      <w:r w:rsidRPr="004A12C4">
        <w:rPr>
          <w:b/>
        </w:rPr>
        <w:t>Appropriate Health Care</w:t>
      </w:r>
    </w:p>
    <w:p w14:paraId="65136C7D" w14:textId="1BBFC479" w:rsidR="000B25B8" w:rsidRPr="001A315A" w:rsidRDefault="006A2A4B" w:rsidP="00FC7CA8">
      <w:pPr>
        <w:spacing w:after="0" w:line="240" w:lineRule="auto"/>
      </w:pPr>
      <w:r w:rsidRPr="001A315A">
        <w:t>• Treat the underlying primary cause</w:t>
      </w:r>
    </w:p>
    <w:p w14:paraId="3535DF09" w14:textId="26E12109" w:rsidR="006769FF" w:rsidRPr="001A315A" w:rsidRDefault="006A2A4B" w:rsidP="00FC7CA8">
      <w:pPr>
        <w:spacing w:after="0" w:line="240" w:lineRule="auto"/>
      </w:pPr>
      <w:r w:rsidRPr="001A315A">
        <w:t>• Fluid, dextrose</w:t>
      </w:r>
      <w:r w:rsidR="004C36A9" w:rsidRPr="001A315A">
        <w:t>,</w:t>
      </w:r>
      <w:r w:rsidRPr="001A315A">
        <w:t xml:space="preserve"> and electrolyte support</w:t>
      </w:r>
    </w:p>
    <w:p w14:paraId="2993F1D9" w14:textId="77777777" w:rsidR="00727D56" w:rsidRDefault="00727D56" w:rsidP="000001CE">
      <w:pPr>
        <w:spacing w:after="0" w:line="240" w:lineRule="auto"/>
        <w:outlineLvl w:val="0"/>
        <w:rPr>
          <w:b/>
        </w:rPr>
      </w:pPr>
      <w:r w:rsidRPr="004A12C4">
        <w:rPr>
          <w:b/>
        </w:rPr>
        <w:t xml:space="preserve"> </w:t>
      </w:r>
    </w:p>
    <w:p w14:paraId="79EE3401" w14:textId="1426A4FB" w:rsidR="006769FF" w:rsidRPr="001A315A" w:rsidRDefault="000B25B8" w:rsidP="000001CE">
      <w:pPr>
        <w:spacing w:after="0" w:line="240" w:lineRule="auto"/>
        <w:outlineLvl w:val="0"/>
        <w:rPr>
          <w:b/>
          <w:i/>
        </w:rPr>
      </w:pPr>
      <w:r w:rsidRPr="004A12C4">
        <w:rPr>
          <w:b/>
        </w:rPr>
        <w:t>Activity</w:t>
      </w:r>
    </w:p>
    <w:p w14:paraId="424DF73C" w14:textId="7154D2A3" w:rsidR="006A2A4B" w:rsidRPr="001A315A" w:rsidRDefault="006A2A4B" w:rsidP="00FC7CA8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</w:pPr>
      <w:r w:rsidRPr="001A315A">
        <w:t>• Complete rest and avoidance of stress, particularly surgery, infection, and trauma</w:t>
      </w:r>
    </w:p>
    <w:p w14:paraId="6243A752" w14:textId="77777777" w:rsidR="00727D56" w:rsidRDefault="00727D56" w:rsidP="000001CE">
      <w:pPr>
        <w:spacing w:after="0" w:line="240" w:lineRule="auto"/>
        <w:outlineLvl w:val="0"/>
        <w:rPr>
          <w:b/>
        </w:rPr>
      </w:pPr>
    </w:p>
    <w:p w14:paraId="17230DCE" w14:textId="2BB1E24E" w:rsidR="006769FF" w:rsidRPr="001A315A" w:rsidRDefault="000B25B8" w:rsidP="000001CE">
      <w:pPr>
        <w:spacing w:after="0" w:line="240" w:lineRule="auto"/>
        <w:outlineLvl w:val="0"/>
        <w:rPr>
          <w:b/>
          <w:i/>
        </w:rPr>
      </w:pPr>
      <w:r w:rsidRPr="004A12C4">
        <w:rPr>
          <w:b/>
        </w:rPr>
        <w:t>Diet</w:t>
      </w:r>
    </w:p>
    <w:p w14:paraId="36D54E03" w14:textId="7B05BDF3" w:rsidR="000B25B8" w:rsidRPr="001A315A" w:rsidRDefault="007D7948" w:rsidP="00FC7CA8">
      <w:pPr>
        <w:spacing w:after="0" w:line="240" w:lineRule="auto"/>
      </w:pPr>
      <w:r w:rsidRPr="001A315A">
        <w:t xml:space="preserve">• </w:t>
      </w:r>
      <w:r w:rsidR="006A2A4B" w:rsidRPr="001A315A">
        <w:t>If mineralocorticoid insufficiency, provide sodium supplementation (e.g. salt) and avoid potassium supplementation</w:t>
      </w:r>
    </w:p>
    <w:p w14:paraId="63460C9D" w14:textId="77777777" w:rsidR="00727D56" w:rsidRDefault="00727D56" w:rsidP="000001CE">
      <w:pPr>
        <w:spacing w:after="0" w:line="240" w:lineRule="auto"/>
        <w:outlineLvl w:val="0"/>
        <w:rPr>
          <w:b/>
        </w:rPr>
      </w:pPr>
    </w:p>
    <w:p w14:paraId="1E7DA2C1" w14:textId="5876DE96" w:rsidR="006769FF" w:rsidRPr="004A12C4" w:rsidRDefault="000B25B8" w:rsidP="000001CE">
      <w:pPr>
        <w:spacing w:after="0" w:line="240" w:lineRule="auto"/>
        <w:outlineLvl w:val="0"/>
        <w:rPr>
          <w:b/>
        </w:rPr>
      </w:pPr>
      <w:r w:rsidRPr="004A12C4">
        <w:rPr>
          <w:b/>
        </w:rPr>
        <w:lastRenderedPageBreak/>
        <w:t>Surgical Considerations</w:t>
      </w:r>
    </w:p>
    <w:p w14:paraId="54D97B76" w14:textId="52DCB6C9" w:rsidR="000B25B8" w:rsidRPr="001A315A" w:rsidRDefault="007D7948" w:rsidP="00FC7CA8">
      <w:pPr>
        <w:spacing w:after="0" w:line="240" w:lineRule="auto"/>
      </w:pPr>
      <w:r w:rsidRPr="001A315A">
        <w:t xml:space="preserve">• </w:t>
      </w:r>
      <w:r w:rsidR="002A0F6E" w:rsidRPr="001A315A">
        <w:t xml:space="preserve">Surgery is not indicated in this condition. Patients with AI should be supplemented with steroids (see </w:t>
      </w:r>
      <w:r w:rsidR="00094F14" w:rsidRPr="001A315A">
        <w:t>Medications</w:t>
      </w:r>
      <w:r w:rsidR="002A0F6E" w:rsidRPr="001A315A">
        <w:t>) around the time of surgery to prevent worsening AI</w:t>
      </w:r>
    </w:p>
    <w:p w14:paraId="7B1EC7EE" w14:textId="77777777" w:rsidR="00727D56" w:rsidRDefault="00727D56" w:rsidP="000001CE">
      <w:pPr>
        <w:spacing w:after="0" w:line="240" w:lineRule="auto"/>
        <w:outlineLvl w:val="0"/>
        <w:rPr>
          <w:b/>
          <w:sz w:val="28"/>
          <w:szCs w:val="28"/>
        </w:rPr>
      </w:pPr>
    </w:p>
    <w:p w14:paraId="72E2D6B2" w14:textId="115EC100" w:rsidR="006769FF" w:rsidRPr="001A315A" w:rsidRDefault="000B25B8" w:rsidP="000001CE">
      <w:pPr>
        <w:spacing w:after="0" w:line="240" w:lineRule="auto"/>
        <w:outlineLvl w:val="0"/>
        <w:rPr>
          <w:b/>
          <w:i/>
        </w:rPr>
      </w:pPr>
      <w:r w:rsidRPr="00727D56">
        <w:rPr>
          <w:b/>
          <w:sz w:val="28"/>
          <w:szCs w:val="28"/>
        </w:rPr>
        <w:t>Medications</w:t>
      </w:r>
    </w:p>
    <w:p w14:paraId="0353689F" w14:textId="1A0AAA94" w:rsidR="006A2A4B" w:rsidRPr="001A315A" w:rsidRDefault="006A2A4B" w:rsidP="00FC7CA8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 xml:space="preserve">• </w:t>
      </w:r>
      <w:r w:rsidR="007D7948" w:rsidRPr="001A315A">
        <w:t>Glucocorticoid</w:t>
      </w:r>
      <w:r w:rsidR="002A0F6E" w:rsidRPr="001A315A">
        <w:t>s</w:t>
      </w:r>
      <w:r w:rsidR="007D7948" w:rsidRPr="001A315A">
        <w:t xml:space="preserve"> at</w:t>
      </w:r>
      <w:r w:rsidRPr="001A315A">
        <w:t xml:space="preserve"> physiologic doses equivalent to daily corticosteroid production rates</w:t>
      </w:r>
    </w:p>
    <w:p w14:paraId="31E15C47" w14:textId="4B59FB15" w:rsidR="007D7948" w:rsidRPr="001A315A" w:rsidRDefault="007D7948" w:rsidP="00FC7CA8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For acute insufficiency in foals, low-dose hydrocortisone is recommended</w:t>
      </w:r>
    </w:p>
    <w:p w14:paraId="2D9DD255" w14:textId="3700AC1C" w:rsidR="007D7948" w:rsidRPr="001A315A" w:rsidRDefault="007D7948" w:rsidP="00FC7CA8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For longer term therapy in adult horses with chronic AI, maintenance dose</w:t>
      </w:r>
      <w:r w:rsidR="000001CE" w:rsidRPr="001A315A">
        <w:t>s</w:t>
      </w:r>
      <w:r w:rsidRPr="001A315A">
        <w:t xml:space="preserve"> of prednisolone </w:t>
      </w:r>
      <w:r w:rsidR="00094F14" w:rsidRPr="001A315A">
        <w:t xml:space="preserve">are </w:t>
      </w:r>
      <w:r w:rsidR="000001CE" w:rsidRPr="001A315A">
        <w:t>recommended</w:t>
      </w:r>
    </w:p>
    <w:p w14:paraId="1A9ADCC0" w14:textId="2FD78FE1" w:rsidR="007D7948" w:rsidRPr="001A315A" w:rsidRDefault="007D7948" w:rsidP="00FC7CA8">
      <w:pPr>
        <w:spacing w:after="0" w:line="240" w:lineRule="auto"/>
      </w:pPr>
      <w:r w:rsidRPr="001A315A">
        <w:t>• If mineralocorticoid replacement is necessary</w:t>
      </w:r>
      <w:r w:rsidR="002A0F6E" w:rsidRPr="001A315A">
        <w:t>,</w:t>
      </w:r>
      <w:r w:rsidRPr="001A315A">
        <w:t xml:space="preserve"> fludrocortisone may be considered</w:t>
      </w:r>
    </w:p>
    <w:p w14:paraId="129B2721" w14:textId="77777777" w:rsidR="00727D56" w:rsidRDefault="00727D56" w:rsidP="000001CE">
      <w:pPr>
        <w:spacing w:after="0" w:line="240" w:lineRule="auto"/>
        <w:outlineLvl w:val="0"/>
        <w:rPr>
          <w:b/>
          <w:sz w:val="28"/>
          <w:szCs w:val="28"/>
        </w:rPr>
      </w:pPr>
    </w:p>
    <w:p w14:paraId="7E0AE922" w14:textId="66E8F8BC" w:rsidR="006769FF" w:rsidRPr="001A315A" w:rsidRDefault="000B25B8" w:rsidP="000001CE">
      <w:pPr>
        <w:spacing w:after="0" w:line="240" w:lineRule="auto"/>
        <w:outlineLvl w:val="0"/>
        <w:rPr>
          <w:b/>
        </w:rPr>
      </w:pPr>
      <w:r w:rsidRPr="00727D56">
        <w:rPr>
          <w:b/>
          <w:sz w:val="28"/>
          <w:szCs w:val="28"/>
        </w:rPr>
        <w:t>Follow-Up</w:t>
      </w:r>
    </w:p>
    <w:p w14:paraId="7CE3366E" w14:textId="664D07C4" w:rsidR="006769FF" w:rsidRPr="004A12C4" w:rsidRDefault="0038544F" w:rsidP="000001CE">
      <w:pPr>
        <w:spacing w:after="0" w:line="240" w:lineRule="auto"/>
        <w:outlineLvl w:val="0"/>
        <w:rPr>
          <w:b/>
        </w:rPr>
      </w:pPr>
      <w:r w:rsidRPr="004A12C4">
        <w:rPr>
          <w:b/>
        </w:rPr>
        <w:t>Patient Monitoring</w:t>
      </w:r>
    </w:p>
    <w:p w14:paraId="33AC252E" w14:textId="060C312A" w:rsidR="006A2A4B" w:rsidRPr="001A315A" w:rsidRDefault="007D7948" w:rsidP="00FC7CA8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</w:pPr>
      <w:r w:rsidRPr="001A315A">
        <w:t xml:space="preserve">• </w:t>
      </w:r>
      <w:r w:rsidR="006A2A4B" w:rsidRPr="001A315A">
        <w:t>Monitor electrolytes, renal function, acid</w:t>
      </w:r>
      <w:r w:rsidR="00C1474D" w:rsidRPr="001A315A">
        <w:t>–</w:t>
      </w:r>
      <w:r w:rsidR="006A2A4B" w:rsidRPr="001A315A">
        <w:t>base balance, blood glucose, and blood pressure</w:t>
      </w:r>
    </w:p>
    <w:p w14:paraId="6E1B1C11" w14:textId="144B9CE6" w:rsidR="006A2A4B" w:rsidRPr="001A315A" w:rsidRDefault="006A2A4B" w:rsidP="00FC7CA8">
      <w:pPr>
        <w:widowControl w:val="0"/>
        <w:tabs>
          <w:tab w:val="left" w:pos="164"/>
        </w:tabs>
        <w:autoSpaceDE w:val="0"/>
        <w:autoSpaceDN w:val="0"/>
        <w:adjustRightInd w:val="0"/>
        <w:spacing w:after="0" w:line="240" w:lineRule="auto"/>
      </w:pPr>
      <w:r w:rsidRPr="001A315A">
        <w:t>• Once the animal is stable, recovery can be documented by repeating ACTH</w:t>
      </w:r>
      <w:r w:rsidR="00C1474D" w:rsidRPr="001A315A">
        <w:t xml:space="preserve"> </w:t>
      </w:r>
      <w:r w:rsidRPr="001A315A">
        <w:t>stimulation tests</w:t>
      </w:r>
    </w:p>
    <w:p w14:paraId="003F524D" w14:textId="77777777" w:rsidR="00727D56" w:rsidRDefault="00727D56" w:rsidP="000001CE">
      <w:pPr>
        <w:spacing w:after="0" w:line="240" w:lineRule="auto"/>
        <w:outlineLvl w:val="0"/>
      </w:pPr>
    </w:p>
    <w:p w14:paraId="16F77029" w14:textId="12F947AC" w:rsidR="006769FF" w:rsidRPr="00727D56" w:rsidRDefault="0038544F" w:rsidP="000001CE">
      <w:pPr>
        <w:spacing w:after="0" w:line="240" w:lineRule="auto"/>
        <w:outlineLvl w:val="0"/>
      </w:pPr>
      <w:r w:rsidRPr="004A12C4">
        <w:rPr>
          <w:b/>
        </w:rPr>
        <w:t>Possible</w:t>
      </w:r>
      <w:r w:rsidRPr="001A315A">
        <w:rPr>
          <w:b/>
          <w:i/>
        </w:rPr>
        <w:t xml:space="preserve"> </w:t>
      </w:r>
      <w:r w:rsidRPr="004A12C4">
        <w:rPr>
          <w:b/>
        </w:rPr>
        <w:t>Complications</w:t>
      </w:r>
    </w:p>
    <w:p w14:paraId="2D969C61" w14:textId="57DD72D9" w:rsidR="007D7948" w:rsidRPr="001A315A" w:rsidRDefault="000C19AB" w:rsidP="00FC7CA8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 xml:space="preserve">• </w:t>
      </w:r>
      <w:r w:rsidR="007D7948" w:rsidRPr="001A315A">
        <w:t>Excessive glucocorticoid administration, especially with long-acting forms (e.g. triamcinolone), increases susceptibility to infections and may induce insulin dysregulation</w:t>
      </w:r>
      <w:r w:rsidR="007D2E35" w:rsidRPr="001A315A">
        <w:t>,</w:t>
      </w:r>
      <w:r w:rsidR="007D7948" w:rsidRPr="001A315A">
        <w:t xml:space="preserve"> which could increase laminitis risk</w:t>
      </w:r>
    </w:p>
    <w:p w14:paraId="2BEAF090" w14:textId="77777777" w:rsidR="00727D56" w:rsidRDefault="00727D56" w:rsidP="000001CE">
      <w:pPr>
        <w:spacing w:after="0" w:line="240" w:lineRule="auto"/>
        <w:outlineLvl w:val="0"/>
        <w:rPr>
          <w:b/>
        </w:rPr>
      </w:pPr>
    </w:p>
    <w:p w14:paraId="61053345" w14:textId="18450C06" w:rsidR="006769FF" w:rsidRPr="004A12C4" w:rsidRDefault="0038544F" w:rsidP="000001CE">
      <w:pPr>
        <w:spacing w:after="0" w:line="240" w:lineRule="auto"/>
        <w:outlineLvl w:val="0"/>
        <w:rPr>
          <w:b/>
        </w:rPr>
      </w:pPr>
      <w:r w:rsidRPr="004A12C4">
        <w:rPr>
          <w:b/>
        </w:rPr>
        <w:t>Expected Course and Prognosis</w:t>
      </w:r>
    </w:p>
    <w:p w14:paraId="1F8CC399" w14:textId="3C493510" w:rsidR="002A0F6E" w:rsidRPr="001A315A" w:rsidRDefault="002A0F6E" w:rsidP="002A0F6E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In general, secondary AI resolves with short-term steroid supplementation if the underlying disease/stressor resolves</w:t>
      </w:r>
    </w:p>
    <w:p w14:paraId="76387CC6" w14:textId="5F8577BC" w:rsidR="002A0F6E" w:rsidRPr="001A315A" w:rsidRDefault="002A0F6E" w:rsidP="002A0F6E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Secondary AI complicates underlying illness so that septic patients with AI have a worse prognosis for survival than septic patients with normal adrenal function</w:t>
      </w:r>
    </w:p>
    <w:p w14:paraId="10778470" w14:textId="77777777" w:rsidR="00727D56" w:rsidRDefault="00727D56" w:rsidP="000001CE">
      <w:pPr>
        <w:spacing w:after="0" w:line="240" w:lineRule="auto"/>
        <w:outlineLvl w:val="0"/>
        <w:rPr>
          <w:b/>
          <w:sz w:val="28"/>
          <w:szCs w:val="28"/>
        </w:rPr>
      </w:pPr>
    </w:p>
    <w:p w14:paraId="5DFAA5F3" w14:textId="6F1B96DD" w:rsidR="006769FF" w:rsidRPr="001A315A" w:rsidRDefault="0038544F" w:rsidP="000001CE">
      <w:pPr>
        <w:spacing w:after="0" w:line="240" w:lineRule="auto"/>
        <w:outlineLvl w:val="0"/>
        <w:rPr>
          <w:b/>
        </w:rPr>
      </w:pPr>
      <w:r w:rsidRPr="00727D56">
        <w:rPr>
          <w:b/>
          <w:sz w:val="28"/>
          <w:szCs w:val="28"/>
        </w:rPr>
        <w:t>Key Points</w:t>
      </w:r>
    </w:p>
    <w:p w14:paraId="73BD5016" w14:textId="076799BF" w:rsidR="002A0F6E" w:rsidRPr="001A315A" w:rsidRDefault="002A0F6E" w:rsidP="002A0F6E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AI most often occurs in neonatal foals, and generally results from suppression of the HPA axis during critical illness</w:t>
      </w:r>
    </w:p>
    <w:p w14:paraId="40B66303" w14:textId="10CDE242" w:rsidR="002A0F6E" w:rsidRPr="001A315A" w:rsidRDefault="002A0F6E" w:rsidP="002A0F6E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AI is managed by treating the underlying disease and providing short</w:t>
      </w:r>
      <w:r w:rsidR="007D2E35" w:rsidRPr="001A315A">
        <w:t>-</w:t>
      </w:r>
      <w:r w:rsidRPr="001A315A">
        <w:t>term supplementation</w:t>
      </w:r>
    </w:p>
    <w:p w14:paraId="63085B2E" w14:textId="29A37AFF" w:rsidR="00211D5C" w:rsidRPr="00211D5C" w:rsidRDefault="002A0F6E" w:rsidP="00211D5C">
      <w:pPr>
        <w:widowControl w:val="0"/>
        <w:autoSpaceDE w:val="0"/>
        <w:autoSpaceDN w:val="0"/>
        <w:adjustRightInd w:val="0"/>
        <w:spacing w:after="0" w:line="240" w:lineRule="auto"/>
      </w:pPr>
      <w:r w:rsidRPr="001A315A">
        <w:t>• AI generally resolves fully if the underlying cause is effectively treated</w:t>
      </w:r>
    </w:p>
    <w:p w14:paraId="529ED33E" w14:textId="77777777" w:rsidR="00211D5C" w:rsidRDefault="00211D5C" w:rsidP="00211D5C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321AE211" w14:textId="77777777" w:rsidR="00211D5C" w:rsidRDefault="00211D5C" w:rsidP="00211D5C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</w:p>
    <w:p w14:paraId="4C5F7945" w14:textId="77777777" w:rsidR="00211D5C" w:rsidRPr="00297D59" w:rsidRDefault="00211D5C" w:rsidP="00211D5C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  <w:r w:rsidRPr="003C163E">
        <w:rPr>
          <w:noProof/>
          <w:lang w:eastAsia="en-GB" w:bidi="ar-SA"/>
        </w:rPr>
        <w:drawing>
          <wp:anchor distT="0" distB="0" distL="0" distR="0" simplePos="0" relativeHeight="251661312" behindDoc="1" locked="0" layoutInCell="1" allowOverlap="1" wp14:anchorId="5A154112" wp14:editId="7C6E2C39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211D5C" w:rsidRPr="00297D59" w14:paraId="54AC650B" w14:textId="77777777" w:rsidTr="00BE44CD">
        <w:tc>
          <w:tcPr>
            <w:tcW w:w="10254" w:type="dxa"/>
          </w:tcPr>
          <w:p w14:paraId="05BC36C5" w14:textId="77777777" w:rsidR="00211D5C" w:rsidRPr="00297D59" w:rsidRDefault="00211D5C" w:rsidP="00BE44CD">
            <w:pPr>
              <w:pStyle w:val="Notes"/>
            </w:pPr>
            <w:r w:rsidRPr="00297D59">
              <w:t>Enter notes here</w:t>
            </w:r>
          </w:p>
          <w:p w14:paraId="208DC9DB" w14:textId="77777777" w:rsidR="00211D5C" w:rsidRPr="00297D59" w:rsidRDefault="00211D5C" w:rsidP="00BE44CD">
            <w:pPr>
              <w:pStyle w:val="Notes"/>
            </w:pPr>
          </w:p>
          <w:p w14:paraId="7A85A96D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74C1B6C0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68CE334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5F51AAF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70D686A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86B973A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2957B6B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BAC6833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0264C70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84F4259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3B12C1E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EF6684B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E0BE694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99993BC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3C55036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3A31B4F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35B6A8F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513C705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2C6C0D8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DE0D086" w14:textId="77777777" w:rsidR="00211D5C" w:rsidRPr="00297D59" w:rsidRDefault="00211D5C" w:rsidP="00BE44CD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74AD48F6" w14:textId="77777777" w:rsidR="00211D5C" w:rsidRPr="00297D59" w:rsidRDefault="00211D5C" w:rsidP="00211D5C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0656CEC5" w14:textId="77777777" w:rsidR="00B77903" w:rsidRPr="0060740E" w:rsidRDefault="00B77903" w:rsidP="00B77903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36D4E9C6" w14:textId="5B311DF3" w:rsidR="00211D5C" w:rsidRPr="00297D59" w:rsidRDefault="00211D5C" w:rsidP="00211D5C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bookmarkStart w:id="0" w:name="_GoBack"/>
      <w:bookmarkEnd w:id="0"/>
    </w:p>
    <w:p w14:paraId="211913B1" w14:textId="77777777" w:rsidR="00211D5C" w:rsidRPr="00297D59" w:rsidRDefault="00211D5C" w:rsidP="00211D5C">
      <w:pPr>
        <w:spacing w:after="0" w:line="240" w:lineRule="auto"/>
      </w:pPr>
    </w:p>
    <w:p w14:paraId="45930B8B" w14:textId="176D108F" w:rsidR="00727D56" w:rsidRPr="00211D5C" w:rsidRDefault="00727D56" w:rsidP="00211D5C">
      <w:pPr>
        <w:spacing w:after="0" w:line="240" w:lineRule="auto"/>
        <w:outlineLvl w:val="0"/>
        <w:rPr>
          <w:rFonts w:ascii="Arial" w:eastAsia="Monaco" w:hAnsi="Arial" w:cs="Monaco"/>
          <w:b/>
          <w:bCs/>
          <w:sz w:val="16"/>
          <w:szCs w:val="16"/>
        </w:rPr>
      </w:pPr>
    </w:p>
    <w:sectPr w:rsidR="00727D56" w:rsidRPr="0021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Hiragino Mincho ProN W3"/>
    <w:charset w:val="80"/>
    <w:family w:val="roman"/>
    <w:pitch w:val="default"/>
    <w:sig w:usb0="00000003" w:usb1="08070000" w:usb2="00000010" w:usb3="00000000" w:csb0="0002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aco">
    <w:altName w:val="Arial Unicode MS"/>
    <w:charset w:val="80"/>
    <w:family w:val="modern"/>
    <w:pitch w:val="fixed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0D0C3B40"/>
    <w:multiLevelType w:val="hybridMultilevel"/>
    <w:tmpl w:val="B8AA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9EE"/>
    <w:multiLevelType w:val="hybridMultilevel"/>
    <w:tmpl w:val="0A76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2CE9"/>
    <w:multiLevelType w:val="hybridMultilevel"/>
    <w:tmpl w:val="4BA4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3E81"/>
    <w:multiLevelType w:val="hybridMultilevel"/>
    <w:tmpl w:val="48623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3F81"/>
    <w:multiLevelType w:val="hybridMultilevel"/>
    <w:tmpl w:val="F098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A4C3B"/>
    <w:multiLevelType w:val="hybridMultilevel"/>
    <w:tmpl w:val="6492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F"/>
    <w:rsid w:val="000001CE"/>
    <w:rsid w:val="000740C9"/>
    <w:rsid w:val="00094F14"/>
    <w:rsid w:val="00097DDE"/>
    <w:rsid w:val="000B25B8"/>
    <w:rsid w:val="000C19AB"/>
    <w:rsid w:val="000C7091"/>
    <w:rsid w:val="001A315A"/>
    <w:rsid w:val="001D4033"/>
    <w:rsid w:val="00211D5C"/>
    <w:rsid w:val="002A0F6E"/>
    <w:rsid w:val="002A72D9"/>
    <w:rsid w:val="00305C95"/>
    <w:rsid w:val="0038544F"/>
    <w:rsid w:val="004A12C4"/>
    <w:rsid w:val="004C36A9"/>
    <w:rsid w:val="005236E1"/>
    <w:rsid w:val="00641BE8"/>
    <w:rsid w:val="006769FF"/>
    <w:rsid w:val="006A2A4B"/>
    <w:rsid w:val="00727D56"/>
    <w:rsid w:val="00757DE9"/>
    <w:rsid w:val="00767C03"/>
    <w:rsid w:val="007B5979"/>
    <w:rsid w:val="007D2E35"/>
    <w:rsid w:val="007D7948"/>
    <w:rsid w:val="00863865"/>
    <w:rsid w:val="008B0002"/>
    <w:rsid w:val="008F593C"/>
    <w:rsid w:val="0094064D"/>
    <w:rsid w:val="009906B2"/>
    <w:rsid w:val="009A4246"/>
    <w:rsid w:val="00B77903"/>
    <w:rsid w:val="00B95A12"/>
    <w:rsid w:val="00C1474D"/>
    <w:rsid w:val="00CB6A42"/>
    <w:rsid w:val="00DE7130"/>
    <w:rsid w:val="00DF147B"/>
    <w:rsid w:val="00EB5EF6"/>
    <w:rsid w:val="00F24CC2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8540"/>
  <w15:docId w15:val="{ABCF8F7A-B5E3-4132-B894-1E9F6AE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02"/>
    <w:pPr>
      <w:ind w:left="720"/>
      <w:contextualSpacing/>
    </w:pPr>
  </w:style>
  <w:style w:type="paragraph" w:customStyle="1" w:styleId="Contactinfo">
    <w:name w:val="Contact info"/>
    <w:basedOn w:val="Normal"/>
    <w:rsid w:val="000C19AB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F14"/>
    <w:rPr>
      <w:b/>
      <w:bCs/>
      <w:sz w:val="20"/>
      <w:szCs w:val="20"/>
    </w:rPr>
  </w:style>
  <w:style w:type="paragraph" w:customStyle="1" w:styleId="Bulletedtext">
    <w:name w:val="Bulleted text"/>
    <w:basedOn w:val="Normal"/>
    <w:rsid w:val="00727D56"/>
    <w:pPr>
      <w:widowControl w:val="0"/>
      <w:numPr>
        <w:numId w:val="6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211D5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211D5C"/>
    <w:pPr>
      <w:ind w:left="58"/>
    </w:pPr>
    <w:rPr>
      <w:rFonts w:ascii="Georgia" w:eastAsia="Times-Roman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Judisch, Erica - Ames</dc:creator>
  <cp:lastModifiedBy>Mirjana Misina</cp:lastModifiedBy>
  <cp:revision>4</cp:revision>
  <cp:lastPrinted>2017-04-28T19:09:00Z</cp:lastPrinted>
  <dcterms:created xsi:type="dcterms:W3CDTF">2019-01-30T13:12:00Z</dcterms:created>
  <dcterms:modified xsi:type="dcterms:W3CDTF">2019-08-12T12:21:00Z</dcterms:modified>
</cp:coreProperties>
</file>