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2368" w14:textId="77777777" w:rsidR="006F4A6B" w:rsidRPr="00C9239B" w:rsidRDefault="006F4A6B" w:rsidP="006F4A6B">
      <w:pPr>
        <w:jc w:val="center"/>
        <w:rPr>
          <w:b/>
          <w:sz w:val="22"/>
          <w:szCs w:val="20"/>
        </w:rPr>
      </w:pPr>
      <w:r w:rsidRPr="00C9239B">
        <w:rPr>
          <w:b/>
          <w:noProof/>
          <w:sz w:val="22"/>
          <w:szCs w:val="20"/>
        </w:rPr>
        <w:drawing>
          <wp:anchor distT="0" distB="0" distL="0" distR="0" simplePos="0" relativeHeight="251655168" behindDoc="0" locked="0" layoutInCell="1" allowOverlap="1" wp14:anchorId="3E5923B7" wp14:editId="3E5923B8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39B">
        <w:rPr>
          <w:b/>
          <w:sz w:val="22"/>
          <w:szCs w:val="20"/>
        </w:rPr>
        <w:t>CLIENT EDUCATION HANDOUT</w:t>
      </w:r>
    </w:p>
    <w:p w14:paraId="3E592369" w14:textId="77777777" w:rsidR="006F4A6B" w:rsidRPr="00C9239B" w:rsidRDefault="006F4A6B" w:rsidP="006F4A6B">
      <w:pPr>
        <w:jc w:val="center"/>
        <w:rPr>
          <w:b/>
          <w:sz w:val="22"/>
          <w:szCs w:val="20"/>
        </w:rPr>
      </w:pPr>
    </w:p>
    <w:p w14:paraId="6419E8EA" w14:textId="51095337" w:rsidR="00C9239B" w:rsidRPr="00C9239B" w:rsidRDefault="006F4A6B" w:rsidP="006F4A6B">
      <w:pPr>
        <w:pStyle w:val="Contactinfo"/>
        <w:rPr>
          <w:b/>
          <w:sz w:val="16"/>
          <w:szCs w:val="16"/>
        </w:rPr>
      </w:pPr>
      <w:r w:rsidRPr="00C9239B">
        <w:rPr>
          <w:b/>
          <w:sz w:val="16"/>
          <w:szCs w:val="16"/>
        </w:rPr>
        <w:t>Customer Name, Street Address, City, State, Zip code</w:t>
      </w:r>
    </w:p>
    <w:p w14:paraId="3E59236B" w14:textId="77777777" w:rsidR="006F4A6B" w:rsidRPr="00B53E17" w:rsidRDefault="006F4A6B" w:rsidP="006F4A6B">
      <w:pPr>
        <w:pStyle w:val="Contactinfo"/>
        <w:rPr>
          <w:b/>
        </w:rPr>
      </w:pPr>
      <w:r w:rsidRPr="00C9239B">
        <w:rPr>
          <w:b/>
          <w:sz w:val="16"/>
          <w:szCs w:val="16"/>
        </w:rPr>
        <w:t>Phone number, Alt. phone number, Fax number, e-mail address, web site</w:t>
      </w:r>
      <w:r w:rsidRPr="00C9239B">
        <w:rPr>
          <w:b/>
          <w:sz w:val="16"/>
          <w:szCs w:val="16"/>
        </w:rPr>
        <w:tab/>
      </w:r>
      <w:r w:rsidRPr="00B53E17">
        <w:rPr>
          <w:b/>
        </w:rPr>
        <w:tab/>
      </w:r>
      <w:r w:rsidRPr="00B53E17">
        <w:rPr>
          <w:b/>
        </w:rPr>
        <w:tab/>
      </w:r>
    </w:p>
    <w:p w14:paraId="708BE208" w14:textId="77777777" w:rsidR="00C9239B" w:rsidRDefault="00C9239B">
      <w:pPr>
        <w:rPr>
          <w:b/>
        </w:rPr>
      </w:pPr>
    </w:p>
    <w:p w14:paraId="4D5A32D5" w14:textId="77777777" w:rsidR="00C9239B" w:rsidRDefault="00C9239B">
      <w:pPr>
        <w:rPr>
          <w:b/>
        </w:rPr>
      </w:pPr>
    </w:p>
    <w:p w14:paraId="3E59236F" w14:textId="185CE734" w:rsidR="000A1AD5" w:rsidRDefault="000A1AD5">
      <w:pPr>
        <w:rPr>
          <w:b/>
          <w:sz w:val="36"/>
          <w:szCs w:val="32"/>
        </w:rPr>
      </w:pPr>
      <w:proofErr w:type="spellStart"/>
      <w:r w:rsidRPr="00C9239B">
        <w:rPr>
          <w:b/>
          <w:sz w:val="36"/>
          <w:szCs w:val="32"/>
        </w:rPr>
        <w:t>Getah</w:t>
      </w:r>
      <w:proofErr w:type="spellEnd"/>
      <w:r w:rsidRPr="00C9239B">
        <w:rPr>
          <w:b/>
          <w:sz w:val="36"/>
          <w:szCs w:val="32"/>
        </w:rPr>
        <w:t xml:space="preserve"> </w:t>
      </w:r>
      <w:r w:rsidR="001F1D5A" w:rsidRPr="00C9239B">
        <w:rPr>
          <w:b/>
          <w:sz w:val="36"/>
          <w:szCs w:val="32"/>
        </w:rPr>
        <w:t xml:space="preserve">Virus </w:t>
      </w:r>
      <w:r w:rsidRPr="00C9239B">
        <w:rPr>
          <w:b/>
          <w:sz w:val="36"/>
          <w:szCs w:val="32"/>
        </w:rPr>
        <w:t>Infection</w:t>
      </w:r>
    </w:p>
    <w:p w14:paraId="3F1E76DB" w14:textId="77777777" w:rsidR="00C9239B" w:rsidRPr="00C9239B" w:rsidRDefault="00C9239B">
      <w:pPr>
        <w:rPr>
          <w:b/>
          <w:sz w:val="36"/>
          <w:szCs w:val="32"/>
        </w:rPr>
      </w:pPr>
    </w:p>
    <w:p w14:paraId="3E592371" w14:textId="386494DC" w:rsidR="000A1AD5" w:rsidRPr="00C9239B" w:rsidRDefault="000D061D">
      <w:pPr>
        <w:rPr>
          <w:b/>
          <w:sz w:val="28"/>
          <w:szCs w:val="24"/>
        </w:rPr>
      </w:pPr>
      <w:r w:rsidRPr="00C9239B">
        <w:rPr>
          <w:b/>
          <w:sz w:val="28"/>
          <w:szCs w:val="24"/>
        </w:rPr>
        <w:t>Basics</w:t>
      </w:r>
    </w:p>
    <w:p w14:paraId="3E592372" w14:textId="19720445" w:rsidR="000A1AD5" w:rsidRPr="00B53E17" w:rsidRDefault="00954E38">
      <w:pPr>
        <w:rPr>
          <w:b/>
        </w:rPr>
      </w:pPr>
      <w:r w:rsidRPr="00B53E17">
        <w:rPr>
          <w:b/>
        </w:rPr>
        <w:t>Overview</w:t>
      </w:r>
    </w:p>
    <w:p w14:paraId="3E592373" w14:textId="3CFC6DC1" w:rsidR="00954E38" w:rsidRPr="00B53E17" w:rsidRDefault="00D93FB9" w:rsidP="004262A9">
      <w:pPr>
        <w:pStyle w:val="ListParagraph"/>
        <w:numPr>
          <w:ilvl w:val="0"/>
          <w:numId w:val="1"/>
        </w:numPr>
        <w:ind w:left="540"/>
      </w:pPr>
      <w:r w:rsidRPr="00B53E17">
        <w:t>Mosquito-</w:t>
      </w:r>
      <w:r w:rsidR="00954E38" w:rsidRPr="00B53E17">
        <w:t>borne virus infection, widely distributed from Eurasia to Australia</w:t>
      </w:r>
    </w:p>
    <w:p w14:paraId="3E592374" w14:textId="3B0B4806" w:rsidR="00954E38" w:rsidRPr="00B53E17" w:rsidRDefault="00954E38" w:rsidP="004262A9">
      <w:pPr>
        <w:pStyle w:val="ListParagraph"/>
        <w:numPr>
          <w:ilvl w:val="0"/>
          <w:numId w:val="1"/>
        </w:numPr>
        <w:ind w:left="540"/>
      </w:pPr>
      <w:r w:rsidRPr="00B53E17">
        <w:t>Naturally occurring disease infrequently reported in horses and rarely in swine</w:t>
      </w:r>
    </w:p>
    <w:p w14:paraId="3E592375" w14:textId="2178D852" w:rsidR="00954E38" w:rsidRPr="00B53E17" w:rsidRDefault="00954E38" w:rsidP="004262A9">
      <w:pPr>
        <w:pStyle w:val="ListParagraph"/>
        <w:numPr>
          <w:ilvl w:val="0"/>
          <w:numId w:val="1"/>
        </w:numPr>
        <w:ind w:left="540"/>
      </w:pPr>
      <w:r w:rsidRPr="00B53E17">
        <w:t>Virus likely maintained in swine</w:t>
      </w:r>
      <w:r w:rsidR="00B53E17" w:rsidRPr="00B53E17">
        <w:t>–</w:t>
      </w:r>
      <w:r w:rsidRPr="00B53E17">
        <w:t>mosquito</w:t>
      </w:r>
      <w:r w:rsidR="00B53E17" w:rsidRPr="00B53E17">
        <w:t>–</w:t>
      </w:r>
      <w:r w:rsidRPr="00B53E17">
        <w:t>swine cycle</w:t>
      </w:r>
    </w:p>
    <w:p w14:paraId="007E374B" w14:textId="77777777" w:rsidR="00C9239B" w:rsidRDefault="00C9239B" w:rsidP="00954E38">
      <w:pPr>
        <w:rPr>
          <w:b/>
        </w:rPr>
      </w:pPr>
    </w:p>
    <w:p w14:paraId="3E592377" w14:textId="461A7819" w:rsidR="00954E38" w:rsidRPr="00C9239B" w:rsidRDefault="00954E38" w:rsidP="00954E38">
      <w:pPr>
        <w:rPr>
          <w:b/>
          <w:sz w:val="22"/>
          <w:szCs w:val="20"/>
        </w:rPr>
      </w:pPr>
      <w:r w:rsidRPr="00C9239B">
        <w:rPr>
          <w:b/>
          <w:sz w:val="22"/>
          <w:szCs w:val="20"/>
        </w:rPr>
        <w:t>Signalment</w:t>
      </w:r>
    </w:p>
    <w:p w14:paraId="3E592378" w14:textId="530BDECF" w:rsidR="00954E38" w:rsidRPr="00B53E17" w:rsidRDefault="00954E38" w:rsidP="009D2316">
      <w:pPr>
        <w:pStyle w:val="ListParagraph"/>
        <w:numPr>
          <w:ilvl w:val="0"/>
          <w:numId w:val="1"/>
        </w:numPr>
        <w:ind w:left="540"/>
      </w:pPr>
      <w:r w:rsidRPr="00B53E17">
        <w:t>Whereas infection can occur in various horse breeds, mostly frequently reported in Thoroughbred racehorses</w:t>
      </w:r>
    </w:p>
    <w:p w14:paraId="1C7C5AE1" w14:textId="77777777" w:rsidR="00C9239B" w:rsidRDefault="00C9239B" w:rsidP="00954E38">
      <w:pPr>
        <w:rPr>
          <w:b/>
        </w:rPr>
      </w:pPr>
    </w:p>
    <w:p w14:paraId="3E59237A" w14:textId="051BF46B" w:rsidR="00D93FB9" w:rsidRPr="00C9239B" w:rsidRDefault="00D93FB9" w:rsidP="00954E38">
      <w:pPr>
        <w:rPr>
          <w:b/>
          <w:sz w:val="22"/>
          <w:szCs w:val="20"/>
        </w:rPr>
      </w:pPr>
      <w:r w:rsidRPr="00C9239B">
        <w:rPr>
          <w:b/>
          <w:sz w:val="22"/>
          <w:szCs w:val="20"/>
        </w:rPr>
        <w:t>Signs</w:t>
      </w:r>
    </w:p>
    <w:p w14:paraId="3E59237B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>Fever</w:t>
      </w:r>
    </w:p>
    <w:p w14:paraId="3E59237C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>Anorexia</w:t>
      </w:r>
    </w:p>
    <w:p w14:paraId="3E59237D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>Depression</w:t>
      </w:r>
    </w:p>
    <w:p w14:paraId="3E59237E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>Limb and preputial edema</w:t>
      </w:r>
    </w:p>
    <w:p w14:paraId="3E59237F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>Skin rash</w:t>
      </w:r>
    </w:p>
    <w:p w14:paraId="3E592380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>Serous nasal discharge</w:t>
      </w:r>
    </w:p>
    <w:p w14:paraId="3E592381" w14:textId="77777777" w:rsidR="00954E38" w:rsidRPr="00B53E17" w:rsidRDefault="00954E38" w:rsidP="004262A9">
      <w:pPr>
        <w:pStyle w:val="ListParagraph"/>
        <w:numPr>
          <w:ilvl w:val="0"/>
          <w:numId w:val="3"/>
        </w:numPr>
        <w:ind w:left="540"/>
      </w:pPr>
      <w:r w:rsidRPr="00B53E17">
        <w:t xml:space="preserve">Submandibular </w:t>
      </w:r>
      <w:r w:rsidR="00D93FB9" w:rsidRPr="00B53E17">
        <w:t>lymphadenopathy</w:t>
      </w:r>
    </w:p>
    <w:p w14:paraId="06F01C91" w14:textId="77777777" w:rsidR="00C9239B" w:rsidRDefault="00954E38" w:rsidP="00954E38">
      <w:pPr>
        <w:pStyle w:val="ListParagraph"/>
        <w:numPr>
          <w:ilvl w:val="0"/>
          <w:numId w:val="3"/>
        </w:numPr>
        <w:ind w:left="540"/>
      </w:pPr>
      <w:r w:rsidRPr="00B53E17">
        <w:t>Stiff gait</w:t>
      </w:r>
    </w:p>
    <w:p w14:paraId="6D0B8FF0" w14:textId="77777777" w:rsidR="00C9239B" w:rsidRDefault="00C9239B" w:rsidP="00C9239B">
      <w:pPr>
        <w:rPr>
          <w:b/>
        </w:rPr>
      </w:pPr>
    </w:p>
    <w:p w14:paraId="3E592384" w14:textId="51094E3E" w:rsidR="00954E38" w:rsidRPr="00C9239B" w:rsidRDefault="00954E38" w:rsidP="00C9239B">
      <w:pPr>
        <w:rPr>
          <w:sz w:val="22"/>
          <w:szCs w:val="20"/>
        </w:rPr>
      </w:pPr>
      <w:r w:rsidRPr="00C9239B">
        <w:rPr>
          <w:b/>
          <w:sz w:val="22"/>
          <w:szCs w:val="20"/>
        </w:rPr>
        <w:t>Causes</w:t>
      </w:r>
    </w:p>
    <w:p w14:paraId="3E592385" w14:textId="3BE47EC8" w:rsidR="00954E38" w:rsidRPr="00B53E17" w:rsidRDefault="00954E38" w:rsidP="009D2316">
      <w:pPr>
        <w:pStyle w:val="ListParagraph"/>
        <w:numPr>
          <w:ilvl w:val="0"/>
          <w:numId w:val="3"/>
        </w:numPr>
        <w:ind w:left="540"/>
      </w:pPr>
      <w:r w:rsidRPr="00B53E17">
        <w:t xml:space="preserve">The disease caused by Getah virus is a </w:t>
      </w:r>
      <w:r w:rsidR="00D93FB9" w:rsidRPr="00B53E17">
        <w:t>non</w:t>
      </w:r>
      <w:r w:rsidRPr="00B53E17">
        <w:t xml:space="preserve">fatal infection </w:t>
      </w:r>
      <w:r w:rsidR="004262A9" w:rsidRPr="00B53E17">
        <w:t>in</w:t>
      </w:r>
      <w:r w:rsidRPr="00B53E17">
        <w:t xml:space="preserve"> horses that is transmitted by certain mosquito species in regions </w:t>
      </w:r>
      <w:r w:rsidR="00D93FB9" w:rsidRPr="00B53E17">
        <w:t>where</w:t>
      </w:r>
      <w:r w:rsidRPr="00B53E17">
        <w:t xml:space="preserve"> the virus is endemic. The potential may also exist for respiratory transmission of the virus among horses in close contact with one another</w:t>
      </w:r>
    </w:p>
    <w:p w14:paraId="18C8698F" w14:textId="77777777" w:rsidR="00C9239B" w:rsidRDefault="00C9239B" w:rsidP="00954E38">
      <w:pPr>
        <w:rPr>
          <w:b/>
          <w:sz w:val="28"/>
          <w:szCs w:val="24"/>
        </w:rPr>
      </w:pPr>
    </w:p>
    <w:p w14:paraId="3E592387" w14:textId="6F9DEE35" w:rsidR="00954E38" w:rsidRPr="00B53E17" w:rsidRDefault="00954E38" w:rsidP="00954E38">
      <w:pPr>
        <w:rPr>
          <w:b/>
        </w:rPr>
      </w:pPr>
      <w:r w:rsidRPr="00C9239B">
        <w:rPr>
          <w:b/>
          <w:sz w:val="28"/>
          <w:szCs w:val="24"/>
        </w:rPr>
        <w:t>Treatment</w:t>
      </w:r>
    </w:p>
    <w:p w14:paraId="3E592388" w14:textId="7F023A25" w:rsidR="00954E38" w:rsidRPr="00B53E17" w:rsidRDefault="00954E38" w:rsidP="009D2316">
      <w:pPr>
        <w:pStyle w:val="ListParagraph"/>
        <w:numPr>
          <w:ilvl w:val="0"/>
          <w:numId w:val="3"/>
        </w:numPr>
        <w:ind w:left="540"/>
      </w:pPr>
      <w:r w:rsidRPr="00B53E17">
        <w:t>Not usually indicated because of the mild nature of the disease</w:t>
      </w:r>
    </w:p>
    <w:p w14:paraId="48909D8C" w14:textId="77777777" w:rsidR="00C9239B" w:rsidRDefault="00C9239B" w:rsidP="00954E38">
      <w:pPr>
        <w:rPr>
          <w:b/>
        </w:rPr>
      </w:pPr>
    </w:p>
    <w:p w14:paraId="3E59238A" w14:textId="5B8641A1" w:rsidR="00954E38" w:rsidRPr="00B53E17" w:rsidRDefault="00954E38" w:rsidP="00954E38">
      <w:pPr>
        <w:rPr>
          <w:b/>
        </w:rPr>
      </w:pPr>
      <w:r w:rsidRPr="00C9239B">
        <w:rPr>
          <w:b/>
          <w:sz w:val="22"/>
          <w:szCs w:val="20"/>
        </w:rPr>
        <w:t>Activity</w:t>
      </w:r>
    </w:p>
    <w:p w14:paraId="3E59238B" w14:textId="45A0B831" w:rsidR="00954E38" w:rsidRPr="00B53E17" w:rsidRDefault="00954E38" w:rsidP="009D2316">
      <w:pPr>
        <w:pStyle w:val="ListParagraph"/>
        <w:numPr>
          <w:ilvl w:val="0"/>
          <w:numId w:val="3"/>
        </w:numPr>
        <w:ind w:left="540"/>
      </w:pPr>
      <w:r w:rsidRPr="00B53E17">
        <w:t xml:space="preserve">Horses in training </w:t>
      </w:r>
      <w:r w:rsidR="00B53E17" w:rsidRPr="00B53E17">
        <w:t xml:space="preserve">should be </w:t>
      </w:r>
      <w:r w:rsidRPr="00B53E17">
        <w:t xml:space="preserve">given a short period of rest following </w:t>
      </w:r>
      <w:r w:rsidR="00D93FB9" w:rsidRPr="00B53E17">
        <w:t>complete</w:t>
      </w:r>
      <w:r w:rsidRPr="00B53E17">
        <w:t xml:space="preserve"> resolution of clinical signs</w:t>
      </w:r>
    </w:p>
    <w:p w14:paraId="5B94B6C0" w14:textId="77777777" w:rsidR="00C9239B" w:rsidRDefault="00C9239B" w:rsidP="00954E38">
      <w:pPr>
        <w:rPr>
          <w:b/>
          <w:sz w:val="28"/>
          <w:szCs w:val="28"/>
        </w:rPr>
      </w:pPr>
    </w:p>
    <w:p w14:paraId="4593F1E1" w14:textId="77777777" w:rsidR="00C9239B" w:rsidRDefault="00C9239B" w:rsidP="00954E38">
      <w:pPr>
        <w:rPr>
          <w:b/>
          <w:sz w:val="28"/>
          <w:szCs w:val="28"/>
        </w:rPr>
      </w:pPr>
    </w:p>
    <w:p w14:paraId="3E59238D" w14:textId="3D2167B2" w:rsidR="00954E38" w:rsidRPr="00C9239B" w:rsidRDefault="00954E38" w:rsidP="00954E38">
      <w:pPr>
        <w:rPr>
          <w:b/>
          <w:sz w:val="28"/>
          <w:szCs w:val="28"/>
        </w:rPr>
      </w:pPr>
      <w:r w:rsidRPr="00C9239B">
        <w:rPr>
          <w:b/>
          <w:sz w:val="28"/>
          <w:szCs w:val="28"/>
        </w:rPr>
        <w:lastRenderedPageBreak/>
        <w:t>Medications</w:t>
      </w:r>
    </w:p>
    <w:p w14:paraId="3E59238E" w14:textId="6D854629" w:rsidR="00954E38" w:rsidRPr="00B53E17" w:rsidRDefault="00954E38" w:rsidP="009D2316">
      <w:pPr>
        <w:pStyle w:val="ListParagraph"/>
        <w:numPr>
          <w:ilvl w:val="0"/>
          <w:numId w:val="3"/>
        </w:numPr>
        <w:ind w:left="540"/>
      </w:pPr>
      <w:r w:rsidRPr="00B53E17">
        <w:t xml:space="preserve">Nonsteroidal </w:t>
      </w:r>
      <w:r w:rsidR="00B53E17" w:rsidRPr="00B53E17">
        <w:t>anti-</w:t>
      </w:r>
      <w:r w:rsidRPr="00B53E17">
        <w:t xml:space="preserve">inflammatory drugs may be called for in some more </w:t>
      </w:r>
      <w:r w:rsidR="00D93FB9" w:rsidRPr="00B53E17">
        <w:t>severely</w:t>
      </w:r>
      <w:r w:rsidRPr="00B53E17">
        <w:t xml:space="preserve"> affected horse</w:t>
      </w:r>
      <w:r w:rsidR="004262A9" w:rsidRPr="00B53E17">
        <w:t>s</w:t>
      </w:r>
    </w:p>
    <w:p w14:paraId="25E879E8" w14:textId="77777777" w:rsidR="00C9239B" w:rsidRDefault="00C9239B" w:rsidP="00954E38">
      <w:pPr>
        <w:rPr>
          <w:b/>
          <w:sz w:val="28"/>
          <w:szCs w:val="24"/>
        </w:rPr>
      </w:pPr>
    </w:p>
    <w:p w14:paraId="3E592390" w14:textId="7333D111" w:rsidR="00954E38" w:rsidRPr="00C9239B" w:rsidRDefault="00954E38" w:rsidP="00954E38">
      <w:pPr>
        <w:rPr>
          <w:b/>
          <w:sz w:val="28"/>
          <w:szCs w:val="24"/>
        </w:rPr>
      </w:pPr>
      <w:r w:rsidRPr="00C9239B">
        <w:rPr>
          <w:b/>
          <w:sz w:val="28"/>
          <w:szCs w:val="24"/>
        </w:rPr>
        <w:t>Follow-Up</w:t>
      </w:r>
    </w:p>
    <w:p w14:paraId="3E592391" w14:textId="2C89804D" w:rsidR="00954E38" w:rsidRPr="00C9239B" w:rsidRDefault="00954E38" w:rsidP="00954E38">
      <w:pPr>
        <w:rPr>
          <w:b/>
          <w:sz w:val="22"/>
          <w:szCs w:val="20"/>
        </w:rPr>
      </w:pPr>
      <w:r w:rsidRPr="00C9239B">
        <w:rPr>
          <w:b/>
          <w:sz w:val="22"/>
          <w:szCs w:val="20"/>
        </w:rPr>
        <w:t xml:space="preserve">Expected </w:t>
      </w:r>
      <w:r w:rsidR="004262A9" w:rsidRPr="00C9239B">
        <w:rPr>
          <w:b/>
          <w:sz w:val="22"/>
          <w:szCs w:val="20"/>
        </w:rPr>
        <w:t xml:space="preserve">Course </w:t>
      </w:r>
      <w:r w:rsidRPr="00C9239B">
        <w:rPr>
          <w:b/>
          <w:sz w:val="22"/>
          <w:szCs w:val="20"/>
        </w:rPr>
        <w:t>and Prognosis</w:t>
      </w:r>
    </w:p>
    <w:p w14:paraId="3E592392" w14:textId="54D7367D" w:rsidR="00954E38" w:rsidRPr="00B53E17" w:rsidRDefault="00954E38" w:rsidP="009D2316">
      <w:pPr>
        <w:pStyle w:val="ListParagraph"/>
        <w:numPr>
          <w:ilvl w:val="0"/>
          <w:numId w:val="3"/>
        </w:numPr>
        <w:ind w:left="540"/>
      </w:pPr>
      <w:r w:rsidRPr="00B53E17">
        <w:t>Complete clinical recovery occurs within 7</w:t>
      </w:r>
      <w:r w:rsidR="00B53E17" w:rsidRPr="00B53E17">
        <w:t>–</w:t>
      </w:r>
      <w:r w:rsidRPr="00B53E17">
        <w:t xml:space="preserve">14 days of </w:t>
      </w:r>
      <w:r w:rsidR="00D93FB9" w:rsidRPr="00B53E17">
        <w:t>onset</w:t>
      </w:r>
      <w:r w:rsidRPr="00B53E17">
        <w:t xml:space="preserve"> of disease. Excellent prognosis</w:t>
      </w:r>
    </w:p>
    <w:p w14:paraId="334A1C03" w14:textId="77777777" w:rsidR="00C9239B" w:rsidRDefault="00C9239B" w:rsidP="00954E38">
      <w:pPr>
        <w:rPr>
          <w:b/>
          <w:sz w:val="28"/>
          <w:szCs w:val="24"/>
        </w:rPr>
      </w:pPr>
    </w:p>
    <w:p w14:paraId="3E592394" w14:textId="62996F27" w:rsidR="00954E38" w:rsidRPr="00C9239B" w:rsidRDefault="00954E38" w:rsidP="00954E38">
      <w:pPr>
        <w:rPr>
          <w:b/>
          <w:sz w:val="28"/>
          <w:szCs w:val="24"/>
        </w:rPr>
      </w:pPr>
      <w:r w:rsidRPr="00C9239B">
        <w:rPr>
          <w:b/>
          <w:sz w:val="28"/>
          <w:szCs w:val="24"/>
        </w:rPr>
        <w:t>Key Points</w:t>
      </w:r>
    </w:p>
    <w:p w14:paraId="3E592395" w14:textId="3E67FD9B" w:rsidR="00954E38" w:rsidRPr="00B53E17" w:rsidRDefault="00452DCD" w:rsidP="004262A9">
      <w:pPr>
        <w:pStyle w:val="ListParagraph"/>
        <w:numPr>
          <w:ilvl w:val="0"/>
          <w:numId w:val="2"/>
        </w:numPr>
        <w:ind w:left="540"/>
      </w:pPr>
      <w:r w:rsidRPr="00B53E17">
        <w:t>Mosquito-borne virus infection, widely distributed from Eurasia to Australia</w:t>
      </w:r>
    </w:p>
    <w:p w14:paraId="3E592396" w14:textId="57C8ACAD" w:rsidR="00452DCD" w:rsidRPr="00B53E17" w:rsidRDefault="00452DCD" w:rsidP="004262A9">
      <w:pPr>
        <w:pStyle w:val="ListParagraph"/>
        <w:numPr>
          <w:ilvl w:val="0"/>
          <w:numId w:val="2"/>
        </w:numPr>
        <w:ind w:left="540"/>
      </w:pPr>
      <w:r w:rsidRPr="00B53E17">
        <w:t>Naturally occurring nonfatal disease that is infrequently reported in horses, usually in Thoroughbreds in training</w:t>
      </w:r>
    </w:p>
    <w:p w14:paraId="3E592397" w14:textId="48955EEF" w:rsidR="00452DCD" w:rsidRPr="00B53E17" w:rsidRDefault="00452DCD" w:rsidP="004262A9">
      <w:pPr>
        <w:pStyle w:val="ListParagraph"/>
        <w:numPr>
          <w:ilvl w:val="0"/>
          <w:numId w:val="2"/>
        </w:numPr>
        <w:ind w:left="540"/>
      </w:pPr>
      <w:r w:rsidRPr="00B53E17">
        <w:t>Most commonly encountered clinical signs include fever, anorexia, depression, limb and preputial edema</w:t>
      </w:r>
      <w:r w:rsidR="00B53E17" w:rsidRPr="00B53E17">
        <w:t>,</w:t>
      </w:r>
      <w:r w:rsidRPr="00B53E17">
        <w:t xml:space="preserve"> and skin rash</w:t>
      </w:r>
    </w:p>
    <w:p w14:paraId="3E592398" w14:textId="1C43C9D8" w:rsidR="00452DCD" w:rsidRPr="00B53E17" w:rsidRDefault="00452DCD" w:rsidP="004262A9">
      <w:pPr>
        <w:pStyle w:val="ListParagraph"/>
        <w:numPr>
          <w:ilvl w:val="0"/>
          <w:numId w:val="2"/>
        </w:numPr>
        <w:ind w:left="540"/>
      </w:pPr>
      <w:r w:rsidRPr="00B53E17">
        <w:t>Disease readily diagnosed by virus detection from blood</w:t>
      </w:r>
      <w:r w:rsidR="00B53E17" w:rsidRPr="00B53E17">
        <w:t xml:space="preserve"> and</w:t>
      </w:r>
      <w:r w:rsidRPr="00B53E17">
        <w:t xml:space="preserve"> nasal secretions and by serologic testing of acute and convalescent sera</w:t>
      </w:r>
    </w:p>
    <w:p w14:paraId="3E592399" w14:textId="6FA3257A" w:rsidR="00452DCD" w:rsidRPr="00B53E17" w:rsidRDefault="00452DCD" w:rsidP="004262A9">
      <w:pPr>
        <w:pStyle w:val="ListParagraph"/>
        <w:numPr>
          <w:ilvl w:val="0"/>
          <w:numId w:val="2"/>
        </w:numPr>
        <w:ind w:left="540"/>
      </w:pPr>
      <w:r w:rsidRPr="00B53E17">
        <w:t>Since Getah virus causes a mild, self-limiting infection, treatment of clinically affected horses infrequently indicated</w:t>
      </w:r>
    </w:p>
    <w:p w14:paraId="3E59239A" w14:textId="60E1BA7F" w:rsidR="00452DCD" w:rsidRPr="00B53E17" w:rsidRDefault="008D0F85" w:rsidP="004262A9">
      <w:pPr>
        <w:pStyle w:val="ListParagraph"/>
        <w:numPr>
          <w:ilvl w:val="0"/>
          <w:numId w:val="2"/>
        </w:numPr>
        <w:ind w:left="540"/>
      </w:pPr>
      <w:r w:rsidRPr="00B53E17">
        <w:t xml:space="preserve">Prevention and control of Getah virus infection </w:t>
      </w:r>
      <w:r w:rsidR="00B53E17" w:rsidRPr="00B53E17">
        <w:t xml:space="preserve">is </w:t>
      </w:r>
      <w:r w:rsidRPr="00B53E17">
        <w:t xml:space="preserve">readily accomplished by vaccination in advance of </w:t>
      </w:r>
      <w:r w:rsidR="00B53E17" w:rsidRPr="00B53E17">
        <w:t xml:space="preserve">the </w:t>
      </w:r>
      <w:r w:rsidRPr="00B53E17">
        <w:t>mosquito season</w:t>
      </w:r>
    </w:p>
    <w:p w14:paraId="3E59239B" w14:textId="77777777" w:rsidR="006F4A6B" w:rsidRPr="00B53E17" w:rsidRDefault="006F4A6B" w:rsidP="006F4A6B">
      <w:pPr>
        <w:pStyle w:val="Bulletedtext"/>
        <w:numPr>
          <w:ilvl w:val="0"/>
          <w:numId w:val="0"/>
        </w:numPr>
        <w:ind w:left="720"/>
        <w:rPr>
          <w:rFonts w:cs="Times New Roman"/>
        </w:rPr>
      </w:pPr>
      <w:r w:rsidRPr="000D061D">
        <w:rPr>
          <w:noProof/>
          <w:lang w:eastAsia="en-US" w:bidi="ar-SA"/>
        </w:rPr>
        <w:drawing>
          <wp:anchor distT="0" distB="0" distL="0" distR="0" simplePos="0" relativeHeight="251660288" behindDoc="1" locked="0" layoutInCell="1" allowOverlap="1" wp14:anchorId="3E5923B9" wp14:editId="3E5923BA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9239C" w14:textId="77777777" w:rsidR="006F4A6B" w:rsidRPr="00B53E17" w:rsidRDefault="006F4A6B" w:rsidP="006F4A6B">
      <w:pPr>
        <w:pStyle w:val="Bulletedtext"/>
        <w:numPr>
          <w:ilvl w:val="0"/>
          <w:numId w:val="0"/>
        </w:numPr>
        <w:ind w:left="720"/>
        <w:rPr>
          <w:rFonts w:cs="Times New Roman"/>
        </w:rPr>
      </w:pP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6F4A6B" w:rsidRPr="00B53E17" w14:paraId="3E5923B3" w14:textId="77777777" w:rsidTr="007A1FC3">
        <w:tc>
          <w:tcPr>
            <w:tcW w:w="10254" w:type="dxa"/>
          </w:tcPr>
          <w:p w14:paraId="3E59239D" w14:textId="77777777" w:rsidR="006F4A6B" w:rsidRPr="00B53E17" w:rsidRDefault="006F4A6B" w:rsidP="007A1FC3">
            <w:pPr>
              <w:pStyle w:val="Notes"/>
            </w:pPr>
            <w:r w:rsidRPr="00B53E17">
              <w:t>Enter notes here</w:t>
            </w:r>
          </w:p>
          <w:p w14:paraId="3E59239E" w14:textId="77777777" w:rsidR="006F4A6B" w:rsidRPr="00B53E17" w:rsidRDefault="006F4A6B" w:rsidP="007A1FC3">
            <w:pPr>
              <w:pStyle w:val="Notes"/>
            </w:pPr>
          </w:p>
          <w:p w14:paraId="3E59239F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3E5923A0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1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2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3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4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5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6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7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8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9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A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B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C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D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E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AF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B0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B1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E5923B2" w14:textId="77777777" w:rsidR="006F4A6B" w:rsidRPr="00B53E17" w:rsidRDefault="006F4A6B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3E5923B4" w14:textId="77777777" w:rsidR="006F4A6B" w:rsidRPr="00B53E17" w:rsidRDefault="006F4A6B" w:rsidP="006F4A6B">
      <w:pPr>
        <w:pStyle w:val="Bulletedtext"/>
        <w:numPr>
          <w:ilvl w:val="0"/>
          <w:numId w:val="0"/>
        </w:numPr>
        <w:ind w:left="720"/>
        <w:rPr>
          <w:rFonts w:cs="Times New Roman"/>
        </w:rPr>
      </w:pPr>
    </w:p>
    <w:p w14:paraId="3E5923B6" w14:textId="48E996A5" w:rsidR="000A1AD5" w:rsidRPr="00C9239B" w:rsidRDefault="00CF38B7" w:rsidP="00CF38B7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  <w:bookmarkStart w:id="0" w:name="_GoBack"/>
      <w:bookmarkEnd w:id="0"/>
    </w:p>
    <w:sectPr w:rsidR="000A1AD5" w:rsidRPr="00C9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Hiragino Mincho ProN W3"/>
    <w:charset w:val="80"/>
    <w:family w:val="roman"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2AD27D20"/>
    <w:multiLevelType w:val="hybridMultilevel"/>
    <w:tmpl w:val="2908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B380E"/>
    <w:multiLevelType w:val="hybridMultilevel"/>
    <w:tmpl w:val="572A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5D4"/>
    <w:multiLevelType w:val="hybridMultilevel"/>
    <w:tmpl w:val="E134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3C0"/>
    <w:rsid w:val="000A1AD5"/>
    <w:rsid w:val="000A5960"/>
    <w:rsid w:val="000D061D"/>
    <w:rsid w:val="001F1D5A"/>
    <w:rsid w:val="002668DD"/>
    <w:rsid w:val="003260EB"/>
    <w:rsid w:val="003A6498"/>
    <w:rsid w:val="004262A9"/>
    <w:rsid w:val="00452DCD"/>
    <w:rsid w:val="004E70D0"/>
    <w:rsid w:val="0065595B"/>
    <w:rsid w:val="006F4A6B"/>
    <w:rsid w:val="006F63C0"/>
    <w:rsid w:val="007E3E2A"/>
    <w:rsid w:val="00831B89"/>
    <w:rsid w:val="008D0F85"/>
    <w:rsid w:val="00935159"/>
    <w:rsid w:val="00954E38"/>
    <w:rsid w:val="009D2316"/>
    <w:rsid w:val="00A0163A"/>
    <w:rsid w:val="00B53E17"/>
    <w:rsid w:val="00C9239B"/>
    <w:rsid w:val="00CF38B7"/>
    <w:rsid w:val="00D01E37"/>
    <w:rsid w:val="00D93FB9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2366"/>
  <w15:docId w15:val="{C1C2B89F-F4E4-427E-ABE2-98B0F4B1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tegory">
    <w:name w:val="Qcategory"/>
    <w:basedOn w:val="Normal"/>
    <w:autoRedefine/>
    <w:qFormat/>
    <w:rsid w:val="00EA5BE3"/>
    <w:pPr>
      <w:spacing w:line="48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customStyle="1" w:styleId="Qheading">
    <w:name w:val="Qheading"/>
    <w:basedOn w:val="Normal"/>
    <w:autoRedefine/>
    <w:qFormat/>
    <w:rsid w:val="00EA5BE3"/>
    <w:pPr>
      <w:spacing w:line="48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Qtext">
    <w:name w:val="Qtext"/>
    <w:basedOn w:val="Normal"/>
    <w:autoRedefine/>
    <w:qFormat/>
    <w:rsid w:val="00EA5BE3"/>
    <w:pPr>
      <w:spacing w:line="480" w:lineRule="auto"/>
      <w:ind w:firstLine="360"/>
    </w:pPr>
    <w:rPr>
      <w:rFonts w:ascii="Times New Roman" w:eastAsia="Times New Roman" w:hAnsi="Times New Roman" w:cs="Times New Roman"/>
      <w:szCs w:val="20"/>
    </w:rPr>
  </w:style>
  <w:style w:type="paragraph" w:customStyle="1" w:styleId="Qwords">
    <w:name w:val="Qwords"/>
    <w:basedOn w:val="Qtext"/>
    <w:qFormat/>
    <w:rsid w:val="00EA5BE3"/>
    <w:pPr>
      <w:ind w:firstLine="0"/>
    </w:pPr>
  </w:style>
  <w:style w:type="paragraph" w:styleId="ListParagraph">
    <w:name w:val="List Paragraph"/>
    <w:basedOn w:val="Normal"/>
    <w:uiPriority w:val="34"/>
    <w:qFormat/>
    <w:rsid w:val="00954E38"/>
    <w:pPr>
      <w:ind w:left="720"/>
      <w:contextualSpacing/>
    </w:pPr>
  </w:style>
  <w:style w:type="paragraph" w:customStyle="1" w:styleId="Contactinfo">
    <w:name w:val="Contact info"/>
    <w:basedOn w:val="Normal"/>
    <w:rsid w:val="006F4A6B"/>
    <w:pPr>
      <w:widowControl w:val="0"/>
      <w:suppressAutoHyphens/>
      <w:autoSpaceDE w:val="0"/>
      <w:spacing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paragraph" w:customStyle="1" w:styleId="Bulletedtext">
    <w:name w:val="Bulleted text"/>
    <w:basedOn w:val="Normal"/>
    <w:rsid w:val="006F4A6B"/>
    <w:pPr>
      <w:widowControl w:val="0"/>
      <w:numPr>
        <w:numId w:val="4"/>
      </w:numPr>
      <w:suppressAutoHyphens/>
      <w:autoSpaceDE w:val="0"/>
      <w:spacing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6F4A6B"/>
    <w:pPr>
      <w:widowControl w:val="0"/>
      <w:suppressLineNumbers/>
      <w:suppressAutoHyphens/>
    </w:pPr>
    <w:rPr>
      <w:rFonts w:ascii="Times New Roman" w:eastAsia="Times New Roman" w:hAnsi="Times New Roman" w:cs="Times New Roman"/>
      <w:kern w:val="1"/>
      <w:szCs w:val="24"/>
      <w:lang w:eastAsia="hi-IN" w:bidi="hi-IN"/>
    </w:rPr>
  </w:style>
  <w:style w:type="paragraph" w:customStyle="1" w:styleId="Notes">
    <w:name w:val="Notes"/>
    <w:basedOn w:val="TableContents"/>
    <w:rsid w:val="006F4A6B"/>
    <w:pPr>
      <w:ind w:left="58"/>
    </w:pPr>
    <w:rPr>
      <w:rFonts w:ascii="Georgia" w:eastAsia="Times-Roman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89D6-4D02-4B23-ABD9-23E14D89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Mirjana Misina</cp:lastModifiedBy>
  <cp:revision>3</cp:revision>
  <cp:lastPrinted>2016-09-27T13:56:00Z</cp:lastPrinted>
  <dcterms:created xsi:type="dcterms:W3CDTF">2019-08-12T11:04:00Z</dcterms:created>
  <dcterms:modified xsi:type="dcterms:W3CDTF">2019-08-12T12:23:00Z</dcterms:modified>
</cp:coreProperties>
</file>