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3DFF" w14:textId="6CBC5CE6" w:rsidR="00E33025" w:rsidRPr="00D72B7F" w:rsidRDefault="008D37FF" w:rsidP="001250FB">
      <w:pPr>
        <w:spacing w:after="0" w:line="240" w:lineRule="auto"/>
        <w:jc w:val="center"/>
        <w:outlineLvl w:val="0"/>
        <w:rPr>
          <w:b/>
        </w:rPr>
      </w:pPr>
      <w:r w:rsidRPr="00E84F43">
        <w:rPr>
          <w:noProof/>
        </w:rPr>
        <w:drawing>
          <wp:anchor distT="0" distB="0" distL="0" distR="0" simplePos="0" relativeHeight="251657216" behindDoc="0" locked="0" layoutInCell="1" allowOverlap="1" wp14:anchorId="4AFE5FCA" wp14:editId="7D4C21DF">
            <wp:simplePos x="0" y="0"/>
            <wp:positionH relativeFrom="page">
              <wp:posOffset>6494145</wp:posOffset>
            </wp:positionH>
            <wp:positionV relativeFrom="page">
              <wp:posOffset>727075</wp:posOffset>
            </wp:positionV>
            <wp:extent cx="756285" cy="756285"/>
            <wp:effectExtent l="0" t="0" r="5715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25" w:rsidRPr="00D72B7F">
        <w:rPr>
          <w:b/>
        </w:rPr>
        <w:t>CLIENT EDUCATION HANDOUT</w:t>
      </w:r>
    </w:p>
    <w:p w14:paraId="2F5D368E" w14:textId="77777777" w:rsidR="00E33025" w:rsidRPr="00D72B7F" w:rsidRDefault="00E33025" w:rsidP="00E33025">
      <w:pPr>
        <w:spacing w:after="0" w:line="240" w:lineRule="auto"/>
        <w:jc w:val="center"/>
        <w:rPr>
          <w:b/>
        </w:rPr>
      </w:pPr>
    </w:p>
    <w:p w14:paraId="2602B40A" w14:textId="77777777" w:rsidR="00E33025" w:rsidRPr="00D72B7F" w:rsidRDefault="00E33025" w:rsidP="001250FB">
      <w:pPr>
        <w:pStyle w:val="Contactinfo"/>
        <w:outlineLvl w:val="0"/>
        <w:rPr>
          <w:b/>
        </w:rPr>
      </w:pPr>
      <w:r w:rsidRPr="00D72B7F">
        <w:rPr>
          <w:b/>
        </w:rPr>
        <w:t>Customer Name, Street Address, City, State, Zip code</w:t>
      </w:r>
    </w:p>
    <w:p w14:paraId="50C19DED" w14:textId="77777777" w:rsidR="00E33025" w:rsidRPr="00D72B7F" w:rsidRDefault="00E33025" w:rsidP="001250FB">
      <w:pPr>
        <w:pStyle w:val="Contactinfo"/>
        <w:outlineLvl w:val="0"/>
        <w:rPr>
          <w:b/>
        </w:rPr>
      </w:pPr>
      <w:r w:rsidRPr="00D72B7F">
        <w:rPr>
          <w:b/>
        </w:rPr>
        <w:t>Phone number, Alt. phone number, Fax number, e-mail address, web site</w:t>
      </w:r>
      <w:r w:rsidRPr="00D72B7F">
        <w:rPr>
          <w:b/>
        </w:rPr>
        <w:tab/>
      </w:r>
      <w:r w:rsidRPr="00D72B7F">
        <w:rPr>
          <w:b/>
        </w:rPr>
        <w:tab/>
      </w:r>
      <w:r w:rsidRPr="00D72B7F">
        <w:rPr>
          <w:b/>
        </w:rPr>
        <w:tab/>
      </w:r>
    </w:p>
    <w:p w14:paraId="2ED47314" w14:textId="77777777" w:rsidR="00E33025" w:rsidRPr="00D72B7F" w:rsidRDefault="00E33025" w:rsidP="00E33025">
      <w:pPr>
        <w:spacing w:after="0" w:line="240" w:lineRule="auto"/>
        <w:rPr>
          <w:b/>
        </w:rPr>
      </w:pPr>
    </w:p>
    <w:p w14:paraId="274F81E9" w14:textId="1B91A316" w:rsidR="00012826" w:rsidRDefault="00012826" w:rsidP="001250FB">
      <w:pPr>
        <w:spacing w:after="0" w:line="240" w:lineRule="auto"/>
        <w:outlineLvl w:val="0"/>
        <w:rPr>
          <w:b/>
          <w:sz w:val="36"/>
          <w:szCs w:val="36"/>
        </w:rPr>
      </w:pPr>
      <w:proofErr w:type="spellStart"/>
      <w:r w:rsidRPr="008C3C0B">
        <w:rPr>
          <w:b/>
          <w:i/>
          <w:sz w:val="36"/>
          <w:szCs w:val="36"/>
        </w:rPr>
        <w:t>Isocoma</w:t>
      </w:r>
      <w:proofErr w:type="spellEnd"/>
      <w:r w:rsidRPr="008C3C0B">
        <w:rPr>
          <w:b/>
          <w:i/>
          <w:sz w:val="36"/>
          <w:szCs w:val="36"/>
        </w:rPr>
        <w:t xml:space="preserve"> </w:t>
      </w:r>
      <w:proofErr w:type="spellStart"/>
      <w:r w:rsidRPr="008C3C0B">
        <w:rPr>
          <w:b/>
          <w:i/>
          <w:sz w:val="36"/>
          <w:szCs w:val="36"/>
        </w:rPr>
        <w:t>pluriflora</w:t>
      </w:r>
      <w:proofErr w:type="spellEnd"/>
      <w:r w:rsidRPr="008C3C0B">
        <w:rPr>
          <w:b/>
          <w:sz w:val="36"/>
          <w:szCs w:val="36"/>
        </w:rPr>
        <w:t xml:space="preserve"> Toxicosis</w:t>
      </w:r>
    </w:p>
    <w:p w14:paraId="3D2A39EA" w14:textId="77777777" w:rsidR="008C3C0B" w:rsidRPr="008C3C0B" w:rsidRDefault="008C3C0B" w:rsidP="001250FB">
      <w:pPr>
        <w:spacing w:after="0" w:line="240" w:lineRule="auto"/>
        <w:outlineLvl w:val="0"/>
        <w:rPr>
          <w:b/>
          <w:sz w:val="36"/>
          <w:szCs w:val="36"/>
        </w:rPr>
      </w:pPr>
    </w:p>
    <w:p w14:paraId="5ED97F22" w14:textId="079BC1A5" w:rsidR="00012826" w:rsidRPr="008C3C0B" w:rsidRDefault="00012826" w:rsidP="001250FB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8C3C0B">
        <w:rPr>
          <w:b/>
          <w:bCs/>
          <w:sz w:val="28"/>
          <w:szCs w:val="28"/>
        </w:rPr>
        <w:t>Basics</w:t>
      </w:r>
    </w:p>
    <w:p w14:paraId="6B6DD809" w14:textId="1E761C1E" w:rsidR="00012826" w:rsidRPr="00D72B7F" w:rsidRDefault="00012826" w:rsidP="001250FB">
      <w:pPr>
        <w:spacing w:after="0" w:line="240" w:lineRule="auto"/>
        <w:outlineLvl w:val="0"/>
        <w:rPr>
          <w:b/>
        </w:rPr>
      </w:pPr>
      <w:r w:rsidRPr="00D72B7F">
        <w:rPr>
          <w:b/>
        </w:rPr>
        <w:t>Overview</w:t>
      </w:r>
    </w:p>
    <w:p w14:paraId="7C26629D" w14:textId="2DACC7C5" w:rsidR="008D37FF" w:rsidRPr="00D72B7F" w:rsidRDefault="00012826" w:rsidP="00133906">
      <w:pPr>
        <w:spacing w:after="0" w:line="240" w:lineRule="auto"/>
        <w:rPr>
          <w:i/>
        </w:rPr>
      </w:pPr>
      <w:r w:rsidRPr="00D72B7F">
        <w:t>•</w:t>
      </w:r>
      <w:r w:rsidR="008D37FF" w:rsidRPr="00D72B7F">
        <w:t xml:space="preserve"> Other name is </w:t>
      </w:r>
      <w:r w:rsidR="00BA2CAF" w:rsidRPr="00D72B7F">
        <w:t xml:space="preserve">rayless goldenrod </w:t>
      </w:r>
      <w:r w:rsidR="008D37FF" w:rsidRPr="00D72B7F">
        <w:t xml:space="preserve">and was previously known as </w:t>
      </w:r>
      <w:proofErr w:type="spellStart"/>
      <w:r w:rsidR="008D37FF" w:rsidRPr="0091352D">
        <w:rPr>
          <w:i/>
        </w:rPr>
        <w:t>Isocoma</w:t>
      </w:r>
      <w:proofErr w:type="spellEnd"/>
      <w:r w:rsidR="008D37FF" w:rsidRPr="0091352D">
        <w:rPr>
          <w:i/>
        </w:rPr>
        <w:t xml:space="preserve"> </w:t>
      </w:r>
      <w:proofErr w:type="spellStart"/>
      <w:r w:rsidR="008D37FF" w:rsidRPr="0091352D">
        <w:rPr>
          <w:i/>
        </w:rPr>
        <w:t>wrightii</w:t>
      </w:r>
      <w:proofErr w:type="spellEnd"/>
    </w:p>
    <w:p w14:paraId="3BCECAE7" w14:textId="3ADFE33E" w:rsidR="008D37FF" w:rsidRPr="00D72B7F" w:rsidRDefault="008D37FF" w:rsidP="00133906">
      <w:pPr>
        <w:spacing w:after="0" w:line="240" w:lineRule="auto"/>
      </w:pPr>
      <w:r w:rsidRPr="00D72B7F">
        <w:rPr>
          <w:i/>
        </w:rPr>
        <w:t>•</w:t>
      </w:r>
      <w:r w:rsidRPr="00D72B7F">
        <w:t xml:space="preserve"> Hungry or thirsty horses that are unfamiliar with a given area are more likely to consume </w:t>
      </w:r>
      <w:proofErr w:type="spellStart"/>
      <w:r w:rsidRPr="00D72B7F">
        <w:rPr>
          <w:i/>
        </w:rPr>
        <w:t>I</w:t>
      </w:r>
      <w:r w:rsidR="00BA2CAF" w:rsidRPr="00D72B7F">
        <w:rPr>
          <w:i/>
        </w:rPr>
        <w:t>socoma</w:t>
      </w:r>
      <w:proofErr w:type="spellEnd"/>
      <w:r w:rsidRPr="00D72B7F">
        <w:rPr>
          <w:i/>
        </w:rPr>
        <w:t xml:space="preserve"> </w:t>
      </w:r>
      <w:proofErr w:type="spellStart"/>
      <w:r w:rsidRPr="00D72B7F">
        <w:rPr>
          <w:i/>
        </w:rPr>
        <w:t>pluriflora</w:t>
      </w:r>
      <w:proofErr w:type="spellEnd"/>
    </w:p>
    <w:p w14:paraId="7005AEB4" w14:textId="3A1DA10F" w:rsidR="00012826" w:rsidRPr="00D72B7F" w:rsidRDefault="008D37FF" w:rsidP="00133906">
      <w:pPr>
        <w:spacing w:after="0" w:line="240" w:lineRule="auto"/>
      </w:pPr>
      <w:r w:rsidRPr="00D72B7F">
        <w:t>•</w:t>
      </w:r>
      <w:r w:rsidR="00012826" w:rsidRPr="00D72B7F">
        <w:t xml:space="preserve"> Affected horses stand with their legs wide apart and develop swelling near the thoracic inlet and along the ventral neck</w:t>
      </w:r>
    </w:p>
    <w:p w14:paraId="250C1CB7" w14:textId="45E280AB" w:rsidR="00012826" w:rsidRPr="00D72B7F" w:rsidRDefault="00012826" w:rsidP="00133906">
      <w:pPr>
        <w:spacing w:after="0" w:line="240" w:lineRule="auto"/>
      </w:pPr>
      <w:r w:rsidRPr="00D72B7F">
        <w:t xml:space="preserve">• There may be a </w:t>
      </w:r>
      <w:r w:rsidR="00E84F43" w:rsidRPr="00D72B7F">
        <w:t xml:space="preserve">pulse </w:t>
      </w:r>
      <w:r w:rsidR="00E84F43">
        <w:t xml:space="preserve">in the </w:t>
      </w:r>
      <w:r w:rsidRPr="00D72B7F">
        <w:t xml:space="preserve">jugular </w:t>
      </w:r>
      <w:r w:rsidR="00E84F43">
        <w:t>veins</w:t>
      </w:r>
    </w:p>
    <w:p w14:paraId="5CB64C8E" w14:textId="58D1DDB3" w:rsidR="00012826" w:rsidRPr="00D72B7F" w:rsidRDefault="00012826" w:rsidP="00133906">
      <w:pPr>
        <w:spacing w:after="0" w:line="240" w:lineRule="auto"/>
      </w:pPr>
      <w:r w:rsidRPr="00D72B7F">
        <w:t xml:space="preserve">• There </w:t>
      </w:r>
      <w:r w:rsidR="00600091" w:rsidRPr="00D72B7F">
        <w:t xml:space="preserve">is an </w:t>
      </w:r>
      <w:bookmarkStart w:id="0" w:name="OLE_LINK38"/>
      <w:bookmarkStart w:id="1" w:name="OLE_LINK39"/>
      <w:r w:rsidRPr="00D72B7F">
        <w:t>increased hea</w:t>
      </w:r>
      <w:r w:rsidR="00600091" w:rsidRPr="00D72B7F">
        <w:t>r</w:t>
      </w:r>
      <w:r w:rsidRPr="00D72B7F">
        <w:t xml:space="preserve">t rate </w:t>
      </w:r>
      <w:bookmarkEnd w:id="0"/>
      <w:bookmarkEnd w:id="1"/>
      <w:r w:rsidRPr="00D72B7F">
        <w:t xml:space="preserve">and changes </w:t>
      </w:r>
      <w:r w:rsidR="00600091" w:rsidRPr="00D72B7F">
        <w:t>in the</w:t>
      </w:r>
      <w:r w:rsidRPr="00D72B7F">
        <w:t xml:space="preserve"> heart rhythm, best evaluated on a monitor</w:t>
      </w:r>
    </w:p>
    <w:p w14:paraId="58A3C6A4" w14:textId="063302AF" w:rsidR="00012826" w:rsidRPr="00D72B7F" w:rsidRDefault="00012826" w:rsidP="00133906">
      <w:pPr>
        <w:spacing w:after="0" w:line="240" w:lineRule="auto"/>
      </w:pPr>
      <w:r w:rsidRPr="00D72B7F">
        <w:t>• Cardiac arrhythmias often are present and detectable on auscultation</w:t>
      </w:r>
    </w:p>
    <w:p w14:paraId="4265A102" w14:textId="24085105" w:rsidR="00012826" w:rsidRPr="00D72B7F" w:rsidRDefault="00012826" w:rsidP="00133906">
      <w:pPr>
        <w:spacing w:after="0" w:line="240" w:lineRule="auto"/>
      </w:pPr>
      <w:r w:rsidRPr="00D72B7F">
        <w:t>• Environmental conditions such as drought result in less desirable forages or weeds being consumed</w:t>
      </w:r>
    </w:p>
    <w:p w14:paraId="7A0F627E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2AA04A13" w14:textId="6AB9EEE9" w:rsidR="00012826" w:rsidRPr="00D72B7F" w:rsidRDefault="00012826" w:rsidP="001250FB">
      <w:pPr>
        <w:spacing w:after="0" w:line="240" w:lineRule="auto"/>
        <w:outlineLvl w:val="0"/>
        <w:rPr>
          <w:b/>
        </w:rPr>
      </w:pPr>
      <w:r w:rsidRPr="00D72B7F">
        <w:rPr>
          <w:b/>
        </w:rPr>
        <w:t>Signs</w:t>
      </w:r>
    </w:p>
    <w:p w14:paraId="62468468" w14:textId="3C97263B" w:rsidR="00012826" w:rsidRPr="00D72B7F" w:rsidRDefault="00012826" w:rsidP="006769FF">
      <w:pPr>
        <w:spacing w:after="0" w:line="240" w:lineRule="auto"/>
        <w:rPr>
          <w:b/>
        </w:rPr>
      </w:pPr>
      <w:r w:rsidRPr="00D72B7F">
        <w:t>• Affected horses stand with their legs wide apart and develop swelling near the thoracic inlet and along the ventral neck</w:t>
      </w:r>
    </w:p>
    <w:p w14:paraId="46526AE3" w14:textId="0DA2789B" w:rsidR="00012826" w:rsidRPr="00D72B7F" w:rsidRDefault="00012826" w:rsidP="00133906">
      <w:pPr>
        <w:spacing w:after="0" w:line="240" w:lineRule="auto"/>
      </w:pPr>
      <w:r w:rsidRPr="00D72B7F">
        <w:t>• There may be a jugular pulse and associated rapid heart rate</w:t>
      </w:r>
    </w:p>
    <w:p w14:paraId="62DB6FE3" w14:textId="7F205890" w:rsidR="00012826" w:rsidRPr="00D72B7F" w:rsidRDefault="00012826" w:rsidP="00133906">
      <w:pPr>
        <w:spacing w:after="0" w:line="240" w:lineRule="auto"/>
      </w:pPr>
      <w:r w:rsidRPr="00D72B7F">
        <w:t>• Changes in the heart rhythms are often present and detectable on auscultation and on monitoring</w:t>
      </w:r>
    </w:p>
    <w:p w14:paraId="4316249E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6394C95F" w14:textId="4E057995" w:rsidR="00012826" w:rsidRPr="00D72B7F" w:rsidRDefault="00012826" w:rsidP="001250FB">
      <w:pPr>
        <w:spacing w:after="0" w:line="240" w:lineRule="auto"/>
        <w:outlineLvl w:val="0"/>
        <w:rPr>
          <w:b/>
        </w:rPr>
      </w:pPr>
      <w:r w:rsidRPr="00D72B7F">
        <w:rPr>
          <w:b/>
        </w:rPr>
        <w:t>Causes</w:t>
      </w:r>
    </w:p>
    <w:p w14:paraId="5DFE374C" w14:textId="616A2A02" w:rsidR="00012826" w:rsidRPr="00D72B7F" w:rsidRDefault="00012826" w:rsidP="006769FF">
      <w:pPr>
        <w:spacing w:after="0" w:line="240" w:lineRule="auto"/>
      </w:pPr>
      <w:r w:rsidRPr="00D72B7F">
        <w:t>• Generally</w:t>
      </w:r>
      <w:r w:rsidR="00E84F43">
        <w:t>,</w:t>
      </w:r>
      <w:r w:rsidRPr="00D72B7F">
        <w:t xml:space="preserve"> it is believed horses need to consume the plant for 2</w:t>
      </w:r>
      <w:r w:rsidR="00600091" w:rsidRPr="00D72B7F">
        <w:t>–</w:t>
      </w:r>
      <w:r w:rsidRPr="00D72B7F">
        <w:t>3 days or approximately 1</w:t>
      </w:r>
      <w:r w:rsidR="00600091" w:rsidRPr="00D72B7F">
        <w:t>–</w:t>
      </w:r>
      <w:r w:rsidRPr="00D72B7F">
        <w:t>2% of their body weight</w:t>
      </w:r>
    </w:p>
    <w:p w14:paraId="140675DE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1347C1C2" w14:textId="2FE2348B" w:rsidR="00012826" w:rsidRPr="0091352D" w:rsidRDefault="00012826" w:rsidP="001250FB">
      <w:pPr>
        <w:spacing w:after="0" w:line="240" w:lineRule="auto"/>
        <w:outlineLvl w:val="0"/>
        <w:rPr>
          <w:b/>
        </w:rPr>
      </w:pPr>
      <w:r w:rsidRPr="0091352D">
        <w:rPr>
          <w:b/>
        </w:rPr>
        <w:t>Risk Factors</w:t>
      </w:r>
    </w:p>
    <w:p w14:paraId="42E0F024" w14:textId="3971BE19" w:rsidR="00012826" w:rsidRPr="0091352D" w:rsidRDefault="00012826" w:rsidP="006769FF">
      <w:pPr>
        <w:spacing w:after="0" w:line="240" w:lineRule="auto"/>
        <w:rPr>
          <w:b/>
        </w:rPr>
      </w:pPr>
      <w:r w:rsidRPr="00D72B7F">
        <w:t>• The largest risk factor is drought and the loss of other forages</w:t>
      </w:r>
    </w:p>
    <w:p w14:paraId="4A69658D" w14:textId="3A05B04F" w:rsidR="00012826" w:rsidRPr="00D72B7F" w:rsidRDefault="00012826" w:rsidP="00133906">
      <w:pPr>
        <w:spacing w:after="0" w:line="240" w:lineRule="auto"/>
      </w:pPr>
      <w:r w:rsidRPr="00D72B7F">
        <w:t>• No cases of</w:t>
      </w:r>
      <w:r w:rsidRPr="0091352D">
        <w:rPr>
          <w:iCs/>
        </w:rPr>
        <w:t xml:space="preserve"> </w:t>
      </w:r>
      <w:r w:rsidRPr="00D72B7F">
        <w:rPr>
          <w:iCs/>
        </w:rPr>
        <w:t>rayless goldenrod</w:t>
      </w:r>
      <w:r w:rsidRPr="00D72B7F">
        <w:t xml:space="preserve"> intoxication have been documented in horses</w:t>
      </w:r>
      <w:r w:rsidR="00600091" w:rsidRPr="00D72B7F">
        <w:t>,</w:t>
      </w:r>
      <w:r w:rsidRPr="00D72B7F">
        <w:t xml:space="preserve"> although intoxication is suspected to </w:t>
      </w:r>
      <w:r w:rsidR="00D72F87" w:rsidRPr="00D72B7F">
        <w:t>occur</w:t>
      </w:r>
    </w:p>
    <w:p w14:paraId="4869AF35" w14:textId="1D998AC3" w:rsidR="00012826" w:rsidRPr="00D72B7F" w:rsidRDefault="00012826" w:rsidP="00133906">
      <w:pPr>
        <w:spacing w:after="0" w:line="240" w:lineRule="auto"/>
      </w:pPr>
      <w:r w:rsidRPr="00D72B7F">
        <w:t>• However</w:t>
      </w:r>
      <w:r w:rsidR="00600091" w:rsidRPr="00D72B7F">
        <w:t>,</w:t>
      </w:r>
      <w:r w:rsidRPr="00D72B7F">
        <w:t xml:space="preserve"> cases of alkali disease were reported in the early 1900</w:t>
      </w:r>
      <w:r w:rsidR="00600091" w:rsidRPr="00D72B7F">
        <w:t>s</w:t>
      </w:r>
      <w:r w:rsidRPr="00D72B7F">
        <w:t xml:space="preserve"> in horses and </w:t>
      </w:r>
      <w:r w:rsidR="00600091" w:rsidRPr="00D72B7F">
        <w:t xml:space="preserve">are </w:t>
      </w:r>
      <w:r w:rsidRPr="00D72B7F">
        <w:t xml:space="preserve">believed to be from </w:t>
      </w:r>
      <w:proofErr w:type="spellStart"/>
      <w:r w:rsidRPr="00D72B7F">
        <w:rPr>
          <w:i/>
        </w:rPr>
        <w:t>Isocoma</w:t>
      </w:r>
      <w:proofErr w:type="spellEnd"/>
      <w:r w:rsidRPr="00D72B7F">
        <w:rPr>
          <w:i/>
        </w:rPr>
        <w:t xml:space="preserve"> </w:t>
      </w:r>
      <w:proofErr w:type="spellStart"/>
      <w:r w:rsidRPr="00D72B7F">
        <w:rPr>
          <w:i/>
        </w:rPr>
        <w:t>pluriflora</w:t>
      </w:r>
      <w:proofErr w:type="spellEnd"/>
    </w:p>
    <w:p w14:paraId="19736E0E" w14:textId="4393EB06" w:rsidR="00012826" w:rsidRPr="00D72B7F" w:rsidRDefault="00012826" w:rsidP="00133906">
      <w:pPr>
        <w:spacing w:after="0" w:line="240" w:lineRule="auto"/>
      </w:pPr>
      <w:r w:rsidRPr="00D72B7F">
        <w:t xml:space="preserve">• The toxin is the same as that found in </w:t>
      </w:r>
      <w:r w:rsidRPr="00D72B7F">
        <w:rPr>
          <w:i/>
          <w:iCs/>
        </w:rPr>
        <w:t xml:space="preserve">Eupatorium </w:t>
      </w:r>
      <w:proofErr w:type="spellStart"/>
      <w:r w:rsidRPr="00D72B7F">
        <w:rPr>
          <w:i/>
          <w:iCs/>
        </w:rPr>
        <w:t>rugosum</w:t>
      </w:r>
      <w:proofErr w:type="spellEnd"/>
      <w:r w:rsidRPr="00D72B7F">
        <w:t xml:space="preserve"> (white snakeroot), and presumptive evidence exists that the same clinical signs could be expected</w:t>
      </w:r>
      <w:r w:rsidR="00D72B7F" w:rsidRPr="00D72B7F">
        <w:t>—</w:t>
      </w:r>
      <w:r w:rsidRPr="00D72B7F">
        <w:t>heart muscle degeneration, muscle tremors, ataxia, reluctance to walk, heavy sweating, myoglobinuria, and depression</w:t>
      </w:r>
    </w:p>
    <w:p w14:paraId="7C51D4D7" w14:textId="56903956" w:rsidR="00012826" w:rsidRPr="00D72B7F" w:rsidRDefault="00012826" w:rsidP="00133906">
      <w:pPr>
        <w:spacing w:after="0" w:line="240" w:lineRule="auto"/>
      </w:pPr>
      <w:r w:rsidRPr="00D72B7F">
        <w:t>• Horses eating</w:t>
      </w:r>
      <w:r w:rsidRPr="0091352D">
        <w:rPr>
          <w:iCs/>
        </w:rPr>
        <w:t xml:space="preserve"> </w:t>
      </w:r>
      <w:r w:rsidRPr="00D72B7F">
        <w:t>white snakeroot have an onset of clinical signs within 2–3 weeks after ingestion</w:t>
      </w:r>
    </w:p>
    <w:p w14:paraId="20B4426F" w14:textId="77777777" w:rsidR="008C3C0B" w:rsidRDefault="008C3C0B" w:rsidP="001250FB">
      <w:pPr>
        <w:spacing w:after="0" w:line="240" w:lineRule="auto"/>
        <w:outlineLvl w:val="0"/>
      </w:pPr>
    </w:p>
    <w:p w14:paraId="63378D68" w14:textId="650234E6" w:rsidR="00012826" w:rsidRPr="00D72B7F" w:rsidRDefault="00012826" w:rsidP="001250FB">
      <w:pPr>
        <w:spacing w:after="0" w:line="240" w:lineRule="auto"/>
        <w:outlineLvl w:val="0"/>
        <w:rPr>
          <w:b/>
        </w:rPr>
      </w:pPr>
      <w:r w:rsidRPr="008C3C0B">
        <w:rPr>
          <w:b/>
          <w:sz w:val="28"/>
          <w:szCs w:val="28"/>
        </w:rPr>
        <w:t>Treatment</w:t>
      </w:r>
    </w:p>
    <w:p w14:paraId="6538B9A1" w14:textId="7FDF9B18" w:rsidR="00012826" w:rsidRPr="00D72B7F" w:rsidRDefault="00012826" w:rsidP="00133906">
      <w:pPr>
        <w:spacing w:after="0" w:line="240" w:lineRule="auto"/>
      </w:pPr>
      <w:r w:rsidRPr="00D72B7F">
        <w:t>• The veterinarian should initiate decontamination with activated charcoal</w:t>
      </w:r>
      <w:r w:rsidR="00D72B7F" w:rsidRPr="00D72B7F">
        <w:t>,</w:t>
      </w:r>
      <w:r w:rsidRPr="00D72B7F">
        <w:t xml:space="preserve"> and a saline cathartic may be helpful, especially to reduce or prevent the toxi</w:t>
      </w:r>
      <w:r w:rsidR="00D72B7F" w:rsidRPr="00D72B7F">
        <w:t>n</w:t>
      </w:r>
      <w:r w:rsidRPr="00D72B7F">
        <w:t xml:space="preserve"> from recirculation through the liver</w:t>
      </w:r>
    </w:p>
    <w:p w14:paraId="4C363013" w14:textId="4D6205F0" w:rsidR="00012826" w:rsidRPr="00D72B7F" w:rsidRDefault="00012826" w:rsidP="00133906">
      <w:pPr>
        <w:spacing w:after="0" w:line="240" w:lineRule="auto"/>
      </w:pPr>
      <w:r w:rsidRPr="00D72B7F">
        <w:t xml:space="preserve">• </w:t>
      </w:r>
      <w:r w:rsidR="00D72B7F" w:rsidRPr="00D72B7F">
        <w:t>Heart monitoring is required</w:t>
      </w:r>
      <w:r w:rsidRPr="00D72B7F">
        <w:t xml:space="preserve"> and abnormal rhythms and rates </w:t>
      </w:r>
      <w:r w:rsidR="00D72B7F" w:rsidRPr="00D72B7F">
        <w:t xml:space="preserve">need to be treated </w:t>
      </w:r>
      <w:r w:rsidRPr="00D72B7F">
        <w:t>accordingly</w:t>
      </w:r>
    </w:p>
    <w:p w14:paraId="331A4B47" w14:textId="18C6B211" w:rsidR="00D72F87" w:rsidRPr="00D72B7F" w:rsidRDefault="00012826" w:rsidP="00133906">
      <w:pPr>
        <w:spacing w:after="0" w:line="240" w:lineRule="auto"/>
      </w:pPr>
      <w:bookmarkStart w:id="2" w:name="OLE_LINK8"/>
      <w:bookmarkStart w:id="3" w:name="OLE_LINK9"/>
      <w:r w:rsidRPr="00D72B7F">
        <w:t xml:space="preserve">• </w:t>
      </w:r>
      <w:bookmarkEnd w:id="2"/>
      <w:bookmarkEnd w:id="3"/>
      <w:r w:rsidRPr="00D72B7F">
        <w:t>Recovery may be quite long</w:t>
      </w:r>
    </w:p>
    <w:p w14:paraId="6FBCDCBB" w14:textId="7DE03D41" w:rsidR="00012826" w:rsidRPr="00D72B7F" w:rsidRDefault="00012826" w:rsidP="00133906">
      <w:pPr>
        <w:spacing w:after="0" w:line="240" w:lineRule="auto"/>
      </w:pPr>
      <w:r w:rsidRPr="00D72B7F">
        <w:lastRenderedPageBreak/>
        <w:t xml:space="preserve">• </w:t>
      </w:r>
      <w:r w:rsidR="00E84F43">
        <w:t>Intravenous a</w:t>
      </w:r>
      <w:r w:rsidRPr="00D72B7F">
        <w:t>dminist</w:t>
      </w:r>
      <w:r w:rsidR="00E84F43">
        <w:t xml:space="preserve">ration of </w:t>
      </w:r>
      <w:r w:rsidRPr="00D72B7F">
        <w:t>glucose</w:t>
      </w:r>
      <w:r w:rsidR="00A83341">
        <w:t>-</w:t>
      </w:r>
      <w:r w:rsidR="00E84F43">
        <w:t>containing fluid by the veterinarian may be indicated with low blood glucose</w:t>
      </w:r>
    </w:p>
    <w:p w14:paraId="3B6CEA45" w14:textId="343198BB" w:rsidR="00012826" w:rsidRPr="00D72B7F" w:rsidRDefault="00012826" w:rsidP="00133906">
      <w:pPr>
        <w:spacing w:after="0" w:line="240" w:lineRule="auto"/>
      </w:pPr>
      <w:r w:rsidRPr="00D72B7F">
        <w:t xml:space="preserve">• </w:t>
      </w:r>
      <w:r w:rsidR="00D72B7F" w:rsidRPr="00D72B7F">
        <w:t xml:space="preserve">Horses </w:t>
      </w:r>
      <w:r w:rsidRPr="00D72B7F">
        <w:t>that survive may be left with a severely scarred heart and circulatory dysfunction; therefore, symptomatic and supportive care is always appropriate</w:t>
      </w:r>
    </w:p>
    <w:p w14:paraId="533DF7F3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0963D294" w14:textId="0F91462D" w:rsidR="00012826" w:rsidRPr="0091352D" w:rsidRDefault="00012826" w:rsidP="001250FB">
      <w:pPr>
        <w:spacing w:after="0" w:line="240" w:lineRule="auto"/>
        <w:outlineLvl w:val="0"/>
        <w:rPr>
          <w:b/>
        </w:rPr>
      </w:pPr>
      <w:r w:rsidRPr="0091352D">
        <w:rPr>
          <w:b/>
        </w:rPr>
        <w:t>Appropriate Health Care</w:t>
      </w:r>
    </w:p>
    <w:p w14:paraId="66325CEE" w14:textId="7D486CDE" w:rsidR="00012826" w:rsidRPr="00D72B7F" w:rsidRDefault="00012826" w:rsidP="006769FF">
      <w:pPr>
        <w:spacing w:after="0" w:line="240" w:lineRule="auto"/>
      </w:pPr>
      <w:r w:rsidRPr="00D72B7F">
        <w:t>•</w:t>
      </w:r>
      <w:r w:rsidR="00D72B7F" w:rsidRPr="00D72B7F">
        <w:t xml:space="preserve"> </w:t>
      </w:r>
      <w:r w:rsidRPr="00D72B7F">
        <w:t>Supportive care and lots of rest. This may take many months</w:t>
      </w:r>
      <w:r w:rsidR="00D72B7F" w:rsidRPr="00D72B7F">
        <w:t>,</w:t>
      </w:r>
      <w:r w:rsidRPr="00D72B7F">
        <w:t xml:space="preserve"> depending upon how severely the horse is affected</w:t>
      </w:r>
    </w:p>
    <w:p w14:paraId="4F720596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352410F8" w14:textId="230D4738" w:rsidR="00012826" w:rsidRPr="00D72B7F" w:rsidRDefault="00012826" w:rsidP="001250FB">
      <w:pPr>
        <w:spacing w:after="0" w:line="240" w:lineRule="auto"/>
        <w:outlineLvl w:val="0"/>
        <w:rPr>
          <w:b/>
          <w:i/>
        </w:rPr>
      </w:pPr>
      <w:r w:rsidRPr="0091352D">
        <w:rPr>
          <w:b/>
        </w:rPr>
        <w:t>Activity</w:t>
      </w:r>
    </w:p>
    <w:p w14:paraId="43ABD342" w14:textId="5E858725" w:rsidR="00012826" w:rsidRPr="00D72B7F" w:rsidRDefault="00012826" w:rsidP="006769FF">
      <w:pPr>
        <w:spacing w:after="0" w:line="240" w:lineRule="auto"/>
      </w:pPr>
      <w:r w:rsidRPr="00D72B7F">
        <w:t>• Activity will need to be limited for many months to allow the animal to recover</w:t>
      </w:r>
    </w:p>
    <w:p w14:paraId="31D46AA9" w14:textId="439E7214" w:rsidR="00012826" w:rsidRPr="00D72B7F" w:rsidRDefault="00012826" w:rsidP="006769FF">
      <w:pPr>
        <w:spacing w:after="0" w:line="240" w:lineRule="auto"/>
      </w:pPr>
      <w:r w:rsidRPr="00D72B7F">
        <w:t xml:space="preserve">• The length of time of restricted activity will </w:t>
      </w:r>
      <w:r w:rsidR="00D72B7F" w:rsidRPr="00D72B7F">
        <w:t xml:space="preserve">be </w:t>
      </w:r>
      <w:r w:rsidRPr="00D72B7F">
        <w:t>determined by your veterinarian based on the condition of your horse</w:t>
      </w:r>
    </w:p>
    <w:p w14:paraId="3AF3166C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2A694572" w14:textId="42726E02" w:rsidR="00012826" w:rsidRPr="00D72B7F" w:rsidRDefault="00012826" w:rsidP="001250FB">
      <w:pPr>
        <w:spacing w:after="0" w:line="240" w:lineRule="auto"/>
        <w:outlineLvl w:val="0"/>
        <w:rPr>
          <w:b/>
          <w:i/>
        </w:rPr>
      </w:pPr>
      <w:r w:rsidRPr="0091352D">
        <w:rPr>
          <w:b/>
        </w:rPr>
        <w:t>Diet</w:t>
      </w:r>
    </w:p>
    <w:p w14:paraId="2399EB80" w14:textId="1FEF2256" w:rsidR="00012826" w:rsidRPr="00D72B7F" w:rsidRDefault="00012826" w:rsidP="006769FF">
      <w:pPr>
        <w:spacing w:after="0" w:line="240" w:lineRule="auto"/>
      </w:pPr>
      <w:r w:rsidRPr="00D72B7F">
        <w:t>• High</w:t>
      </w:r>
      <w:r w:rsidR="00D72B7F" w:rsidRPr="00D72B7F">
        <w:t>-</w:t>
      </w:r>
      <w:r w:rsidRPr="00D72B7F">
        <w:t>quality hay and forage is necessary</w:t>
      </w:r>
    </w:p>
    <w:p w14:paraId="2A61E9FC" w14:textId="77777777" w:rsidR="008C3C0B" w:rsidRDefault="008C3C0B" w:rsidP="001250FB">
      <w:pPr>
        <w:spacing w:after="0" w:line="240" w:lineRule="auto"/>
        <w:outlineLvl w:val="0"/>
      </w:pPr>
    </w:p>
    <w:p w14:paraId="1F3D2933" w14:textId="208F093B" w:rsidR="00012826" w:rsidRPr="008C3C0B" w:rsidRDefault="00012826" w:rsidP="001250FB">
      <w:pPr>
        <w:spacing w:after="0" w:line="240" w:lineRule="auto"/>
        <w:outlineLvl w:val="0"/>
        <w:rPr>
          <w:b/>
          <w:sz w:val="28"/>
          <w:szCs w:val="28"/>
        </w:rPr>
      </w:pPr>
      <w:r w:rsidRPr="008C3C0B">
        <w:rPr>
          <w:b/>
          <w:sz w:val="28"/>
          <w:szCs w:val="28"/>
        </w:rPr>
        <w:t>Medications</w:t>
      </w:r>
    </w:p>
    <w:p w14:paraId="08623CB5" w14:textId="000DD179" w:rsidR="00012826" w:rsidRPr="00D72B7F" w:rsidRDefault="00012826" w:rsidP="006769FF">
      <w:pPr>
        <w:spacing w:after="0" w:line="240" w:lineRule="auto"/>
      </w:pPr>
      <w:r w:rsidRPr="00D72B7F">
        <w:t>• Pain control or drugs to support the heart may be necessary based upon the severity of the horse’s condition. Consult your veterinarian</w:t>
      </w:r>
    </w:p>
    <w:p w14:paraId="488FDBC0" w14:textId="77777777" w:rsidR="008C3C0B" w:rsidRDefault="008C3C0B" w:rsidP="006769FF">
      <w:pPr>
        <w:spacing w:after="0" w:line="240" w:lineRule="auto"/>
      </w:pPr>
    </w:p>
    <w:p w14:paraId="3BBFA18E" w14:textId="52F97F27" w:rsidR="00012826" w:rsidRPr="008C3C0B" w:rsidRDefault="00BA2CAF" w:rsidP="006769FF">
      <w:pPr>
        <w:spacing w:after="0" w:line="240" w:lineRule="auto"/>
        <w:rPr>
          <w:b/>
          <w:bCs/>
          <w:sz w:val="28"/>
          <w:szCs w:val="28"/>
        </w:rPr>
      </w:pPr>
      <w:r w:rsidRPr="008C3C0B">
        <w:rPr>
          <w:b/>
          <w:bCs/>
          <w:sz w:val="28"/>
          <w:szCs w:val="28"/>
        </w:rPr>
        <w:t>Follow-Up</w:t>
      </w:r>
    </w:p>
    <w:p w14:paraId="41A58819" w14:textId="6467FBF8" w:rsidR="00012826" w:rsidRPr="0091352D" w:rsidRDefault="00012826" w:rsidP="001250FB">
      <w:pPr>
        <w:spacing w:after="0" w:line="240" w:lineRule="auto"/>
        <w:outlineLvl w:val="0"/>
        <w:rPr>
          <w:b/>
        </w:rPr>
      </w:pPr>
      <w:r w:rsidRPr="0091352D">
        <w:rPr>
          <w:b/>
        </w:rPr>
        <w:t>Possible Complications</w:t>
      </w:r>
    </w:p>
    <w:p w14:paraId="0662F3D0" w14:textId="2D29ACDB" w:rsidR="00012826" w:rsidRPr="00D72B7F" w:rsidRDefault="00012826" w:rsidP="0038544F">
      <w:pPr>
        <w:spacing w:after="0" w:line="240" w:lineRule="auto"/>
        <w:jc w:val="both"/>
      </w:pPr>
      <w:r w:rsidRPr="00D72B7F">
        <w:t>• Horse</w:t>
      </w:r>
      <w:r w:rsidR="00D72B7F" w:rsidRPr="00D72B7F">
        <w:t>s</w:t>
      </w:r>
      <w:r w:rsidRPr="00D72B7F">
        <w:t xml:space="preserve"> may have damaged heart muscle</w:t>
      </w:r>
    </w:p>
    <w:p w14:paraId="1D30260A" w14:textId="32D9133F" w:rsidR="00012826" w:rsidRPr="00D72B7F" w:rsidRDefault="00012826" w:rsidP="0038544F">
      <w:pPr>
        <w:spacing w:after="0" w:line="240" w:lineRule="auto"/>
        <w:jc w:val="both"/>
      </w:pPr>
      <w:r w:rsidRPr="00D72B7F">
        <w:t>• This may require a long time to heal</w:t>
      </w:r>
    </w:p>
    <w:p w14:paraId="5346A31D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602DCCB9" w14:textId="5429664E" w:rsidR="00012826" w:rsidRPr="0091352D" w:rsidRDefault="00012826" w:rsidP="001250FB">
      <w:pPr>
        <w:spacing w:after="0" w:line="240" w:lineRule="auto"/>
        <w:outlineLvl w:val="0"/>
        <w:rPr>
          <w:b/>
        </w:rPr>
      </w:pPr>
      <w:r w:rsidRPr="0091352D">
        <w:rPr>
          <w:b/>
        </w:rPr>
        <w:t>Expected Course and Prognosis</w:t>
      </w:r>
    </w:p>
    <w:p w14:paraId="5813C9CB" w14:textId="2B23B227" w:rsidR="00012826" w:rsidRPr="00D72B7F" w:rsidRDefault="00012826" w:rsidP="006769FF">
      <w:pPr>
        <w:spacing w:after="0" w:line="240" w:lineRule="auto"/>
      </w:pPr>
      <w:r w:rsidRPr="00D72B7F">
        <w:t>• Horses may take months to heal</w:t>
      </w:r>
      <w:r w:rsidR="00D72B7F" w:rsidRPr="00D72B7F">
        <w:t>,</w:t>
      </w:r>
      <w:r w:rsidRPr="00D72B7F">
        <w:t xml:space="preserve"> and the length of time to heal will depend upon how severely the horse is affected</w:t>
      </w:r>
    </w:p>
    <w:p w14:paraId="2648E337" w14:textId="77777777" w:rsidR="008C3C0B" w:rsidRDefault="008C3C0B" w:rsidP="001250FB">
      <w:pPr>
        <w:spacing w:after="0" w:line="240" w:lineRule="auto"/>
        <w:outlineLvl w:val="0"/>
        <w:rPr>
          <w:b/>
        </w:rPr>
      </w:pPr>
    </w:p>
    <w:p w14:paraId="23AA8444" w14:textId="68412582" w:rsidR="00012826" w:rsidRPr="008C3C0B" w:rsidRDefault="00012826" w:rsidP="001250FB">
      <w:pPr>
        <w:spacing w:after="0" w:line="240" w:lineRule="auto"/>
        <w:outlineLvl w:val="0"/>
        <w:rPr>
          <w:b/>
          <w:sz w:val="28"/>
          <w:szCs w:val="28"/>
        </w:rPr>
      </w:pPr>
      <w:r w:rsidRPr="008C3C0B">
        <w:rPr>
          <w:b/>
          <w:sz w:val="28"/>
          <w:szCs w:val="28"/>
        </w:rPr>
        <w:t>Key Points</w:t>
      </w:r>
    </w:p>
    <w:p w14:paraId="5FA0DF38" w14:textId="76EE68A0" w:rsidR="00012826" w:rsidRPr="00D72B7F" w:rsidRDefault="00012826" w:rsidP="00B31396">
      <w:pPr>
        <w:spacing w:after="0" w:line="240" w:lineRule="auto"/>
      </w:pPr>
      <w:r w:rsidRPr="00D72B7F">
        <w:t>• Affected horses stand with their legs wide apart and develop swelling near the thoracic inlet and along the ventral neck</w:t>
      </w:r>
    </w:p>
    <w:p w14:paraId="39A0623A" w14:textId="098584AD" w:rsidR="00012826" w:rsidRPr="00D72B7F" w:rsidRDefault="00012826" w:rsidP="00B31396">
      <w:pPr>
        <w:spacing w:after="0" w:line="240" w:lineRule="auto"/>
      </w:pPr>
      <w:r w:rsidRPr="00D72B7F">
        <w:t>• Changes in the heart rhythm are often present and detectable on auscultation and on monitoring</w:t>
      </w:r>
    </w:p>
    <w:p w14:paraId="58E520B6" w14:textId="623F876F" w:rsidR="00012826" w:rsidRPr="00D72B7F" w:rsidRDefault="00012826" w:rsidP="00B31396">
      <w:pPr>
        <w:spacing w:after="0" w:line="240" w:lineRule="auto"/>
      </w:pPr>
      <w:r w:rsidRPr="00D72B7F">
        <w:t>• Horses may take months to heal</w:t>
      </w:r>
      <w:r w:rsidR="00D72B7F" w:rsidRPr="00D72B7F">
        <w:t>,</w:t>
      </w:r>
      <w:r w:rsidRPr="00D72B7F">
        <w:t xml:space="preserve"> and the length of time to heal will depend upon how severely the horse is affected</w:t>
      </w:r>
    </w:p>
    <w:p w14:paraId="36D670CC" w14:textId="77777777" w:rsidR="00E33025" w:rsidRPr="00D72B7F" w:rsidRDefault="00E33025" w:rsidP="00E33025">
      <w:pPr>
        <w:pStyle w:val="Bulletedtext"/>
        <w:numPr>
          <w:ilvl w:val="0"/>
          <w:numId w:val="0"/>
        </w:numPr>
        <w:rPr>
          <w:rFonts w:cs="Times New Roman"/>
        </w:rPr>
      </w:pPr>
    </w:p>
    <w:p w14:paraId="5BB21341" w14:textId="7E84FF22" w:rsidR="00E33025" w:rsidRPr="00D72B7F" w:rsidRDefault="008D37FF" w:rsidP="00E33025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  <w:r w:rsidRPr="00FA0737">
        <w:rPr>
          <w:noProof/>
          <w:lang w:eastAsia="en-US" w:bidi="ar-SA"/>
        </w:rPr>
        <w:drawing>
          <wp:anchor distT="0" distB="0" distL="0" distR="0" simplePos="0" relativeHeight="251658240" behindDoc="1" locked="0" layoutInCell="1" allowOverlap="1" wp14:anchorId="1BAD9C3B" wp14:editId="36E15BA1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E33025" w:rsidRPr="00D72B7F" w14:paraId="0D1DA280" w14:textId="77777777" w:rsidTr="00297433">
        <w:tc>
          <w:tcPr>
            <w:tcW w:w="10254" w:type="dxa"/>
          </w:tcPr>
          <w:p w14:paraId="599999F3" w14:textId="77777777" w:rsidR="00E33025" w:rsidRPr="00D72B7F" w:rsidRDefault="00E33025" w:rsidP="00297433">
            <w:pPr>
              <w:pStyle w:val="Notes"/>
            </w:pPr>
            <w:r w:rsidRPr="00D72B7F">
              <w:t>Enter notes here</w:t>
            </w:r>
          </w:p>
          <w:p w14:paraId="74B3EA59" w14:textId="77777777" w:rsidR="00E33025" w:rsidRPr="00D72B7F" w:rsidRDefault="00E33025" w:rsidP="00297433">
            <w:pPr>
              <w:pStyle w:val="Notes"/>
            </w:pPr>
          </w:p>
          <w:p w14:paraId="353247D4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  <w:tc>
          <w:tcPr>
            <w:tcW w:w="553" w:type="dxa"/>
          </w:tcPr>
          <w:p w14:paraId="64FA4E47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199F7D2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AC5210F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7921A56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B091F91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80D0513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6886613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9C094E9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C1D765A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1522E04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8BC28B1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4571F4F4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FCF08A3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48B2072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86876F9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AA92C31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710FF56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2204E2D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C63D636" w14:textId="77777777" w:rsidR="00E33025" w:rsidRPr="00D72B7F" w:rsidRDefault="00E33025" w:rsidP="0029743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</w:tr>
    </w:tbl>
    <w:p w14:paraId="44EFBA8D" w14:textId="77777777" w:rsidR="00E33025" w:rsidRPr="00D72B7F" w:rsidRDefault="00E33025" w:rsidP="00E33025">
      <w:pPr>
        <w:pStyle w:val="Bulletedtext"/>
        <w:numPr>
          <w:ilvl w:val="0"/>
          <w:numId w:val="0"/>
        </w:numPr>
        <w:rPr>
          <w:rFonts w:cs="Times New Roman"/>
        </w:rPr>
      </w:pPr>
    </w:p>
    <w:p w14:paraId="61467B34" w14:textId="77777777" w:rsidR="009F67C9" w:rsidRPr="0060740E" w:rsidRDefault="009F67C9" w:rsidP="009F67C9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6622DA3D" w14:textId="77777777" w:rsidR="00E33025" w:rsidRPr="00D72B7F" w:rsidRDefault="00E33025" w:rsidP="00E33025">
      <w:pPr>
        <w:spacing w:after="0" w:line="240" w:lineRule="auto"/>
      </w:pPr>
      <w:bookmarkStart w:id="4" w:name="_GoBack"/>
      <w:bookmarkEnd w:id="4"/>
    </w:p>
    <w:p w14:paraId="621B43A1" w14:textId="77777777" w:rsidR="00012826" w:rsidRPr="00D72B7F" w:rsidRDefault="00012826" w:rsidP="00E33025">
      <w:pPr>
        <w:spacing w:after="0" w:line="240" w:lineRule="auto"/>
      </w:pPr>
    </w:p>
    <w:sectPr w:rsidR="00012826" w:rsidRPr="00D72B7F" w:rsidSect="00EF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Hiragino Mincho ProN W3"/>
    <w:charset w:val="80"/>
    <w:family w:val="roman"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altName w:val="Arial Unicode MS"/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8C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A4F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462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06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D23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C5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46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B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68A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FF"/>
    <w:rsid w:val="00012826"/>
    <w:rsid w:val="000B25B8"/>
    <w:rsid w:val="001217C3"/>
    <w:rsid w:val="001250FB"/>
    <w:rsid w:val="00133906"/>
    <w:rsid w:val="00211D79"/>
    <w:rsid w:val="002A1B2E"/>
    <w:rsid w:val="002A727E"/>
    <w:rsid w:val="0038544F"/>
    <w:rsid w:val="0049368D"/>
    <w:rsid w:val="005236E1"/>
    <w:rsid w:val="00600091"/>
    <w:rsid w:val="006769FF"/>
    <w:rsid w:val="006F40E0"/>
    <w:rsid w:val="00757DE9"/>
    <w:rsid w:val="00785E93"/>
    <w:rsid w:val="007B5979"/>
    <w:rsid w:val="008C3C0B"/>
    <w:rsid w:val="008D37FF"/>
    <w:rsid w:val="0091352D"/>
    <w:rsid w:val="009F67C9"/>
    <w:rsid w:val="00A47266"/>
    <w:rsid w:val="00A83341"/>
    <w:rsid w:val="00AC44DB"/>
    <w:rsid w:val="00AF0312"/>
    <w:rsid w:val="00B31396"/>
    <w:rsid w:val="00B7585A"/>
    <w:rsid w:val="00BA2CAF"/>
    <w:rsid w:val="00BE734E"/>
    <w:rsid w:val="00C134BD"/>
    <w:rsid w:val="00C721AC"/>
    <w:rsid w:val="00C762F1"/>
    <w:rsid w:val="00CB6A42"/>
    <w:rsid w:val="00D72B7F"/>
    <w:rsid w:val="00D72F87"/>
    <w:rsid w:val="00DE7130"/>
    <w:rsid w:val="00E33025"/>
    <w:rsid w:val="00E84F43"/>
    <w:rsid w:val="00EF290C"/>
    <w:rsid w:val="00F24CC2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41DC1"/>
  <w15:docId w15:val="{17040BA3-6F28-4F4A-A661-AA6A549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33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3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3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025"/>
    <w:rPr>
      <w:rFonts w:ascii="Segoe UI" w:hAnsi="Segoe UI" w:cs="Segoe UI"/>
      <w:sz w:val="18"/>
      <w:szCs w:val="18"/>
    </w:rPr>
  </w:style>
  <w:style w:type="paragraph" w:customStyle="1" w:styleId="Contactinfo">
    <w:name w:val="Contact info"/>
    <w:basedOn w:val="Normal"/>
    <w:rsid w:val="00E33025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paragraph" w:customStyle="1" w:styleId="Bulletedtext">
    <w:name w:val="Bulleted text"/>
    <w:basedOn w:val="Normal"/>
    <w:rsid w:val="00E33025"/>
    <w:pPr>
      <w:widowControl w:val="0"/>
      <w:numPr>
        <w:numId w:val="11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E330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E33025"/>
    <w:pPr>
      <w:ind w:left="58"/>
    </w:pPr>
    <w:rPr>
      <w:rFonts w:ascii="Georgia" w:eastAsia="Times-Roman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EDUCATION HANDOUT TEMPLATE</vt:lpstr>
    </vt:vector>
  </TitlesOfParts>
  <Company>John Wiley and Sons, Inc.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EDUCATION HANDOUT TEMPLATE</dc:title>
  <dc:subject/>
  <dc:creator>Judisch, Erica - Ames</dc:creator>
  <cp:keywords/>
  <dc:description/>
  <cp:lastModifiedBy>Mirjana Misina</cp:lastModifiedBy>
  <cp:revision>3</cp:revision>
  <dcterms:created xsi:type="dcterms:W3CDTF">2019-08-12T11:46:00Z</dcterms:created>
  <dcterms:modified xsi:type="dcterms:W3CDTF">2019-08-12T12:28:00Z</dcterms:modified>
</cp:coreProperties>
</file>