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0E56" w14:textId="77777777" w:rsidR="007A64BF" w:rsidRPr="00D44EEA" w:rsidRDefault="007A64BF" w:rsidP="007A64BF">
      <w:pPr>
        <w:spacing w:after="0" w:line="240" w:lineRule="auto"/>
        <w:jc w:val="center"/>
        <w:outlineLvl w:val="0"/>
        <w:rPr>
          <w:b/>
        </w:rPr>
      </w:pPr>
      <w:r w:rsidRPr="006E2EF7">
        <w:rPr>
          <w:b/>
          <w:noProof/>
          <w:lang w:eastAsia="fr-FR"/>
        </w:rPr>
        <w:drawing>
          <wp:anchor distT="0" distB="0" distL="0" distR="0" simplePos="0" relativeHeight="251656192" behindDoc="0" locked="0" layoutInCell="1" allowOverlap="1" wp14:anchorId="784FE5CA" wp14:editId="2C2F7A8F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EEA">
        <w:rPr>
          <w:b/>
        </w:rPr>
        <w:t>CLIENT EDUCATION HANDOUT</w:t>
      </w:r>
    </w:p>
    <w:p w14:paraId="3FADC25F" w14:textId="77777777" w:rsidR="007A64BF" w:rsidRPr="00D44EEA" w:rsidRDefault="007A64BF" w:rsidP="007A64BF">
      <w:pPr>
        <w:spacing w:after="0" w:line="240" w:lineRule="auto"/>
        <w:jc w:val="center"/>
        <w:rPr>
          <w:b/>
        </w:rPr>
      </w:pPr>
    </w:p>
    <w:p w14:paraId="08069B25" w14:textId="77777777" w:rsidR="007A64BF" w:rsidRPr="00D44EEA" w:rsidRDefault="007A64BF" w:rsidP="007A64BF">
      <w:pPr>
        <w:pStyle w:val="Contactinfo"/>
        <w:outlineLvl w:val="0"/>
        <w:rPr>
          <w:b/>
        </w:rPr>
      </w:pPr>
      <w:r w:rsidRPr="00D44EEA">
        <w:rPr>
          <w:b/>
        </w:rPr>
        <w:t>Customer Name, Street Address, City, State, Zip code</w:t>
      </w:r>
    </w:p>
    <w:p w14:paraId="007A8BC0" w14:textId="77777777" w:rsidR="007A64BF" w:rsidRPr="00D44EEA" w:rsidRDefault="007A64BF" w:rsidP="007A64BF">
      <w:pPr>
        <w:pStyle w:val="Contactinfo"/>
        <w:outlineLvl w:val="0"/>
        <w:rPr>
          <w:b/>
        </w:rPr>
      </w:pPr>
      <w:r w:rsidRPr="00D44EEA">
        <w:rPr>
          <w:b/>
        </w:rPr>
        <w:t>Phone number, Alt. phone number, Fax number, e-mail address, web site</w:t>
      </w:r>
      <w:r w:rsidRPr="00D44EEA">
        <w:rPr>
          <w:b/>
        </w:rPr>
        <w:tab/>
      </w:r>
      <w:r w:rsidRPr="00D44EEA">
        <w:rPr>
          <w:b/>
        </w:rPr>
        <w:tab/>
      </w:r>
      <w:r w:rsidRPr="00D44EEA">
        <w:rPr>
          <w:b/>
        </w:rPr>
        <w:tab/>
      </w:r>
    </w:p>
    <w:p w14:paraId="004A168A" w14:textId="77777777" w:rsidR="00F0702A" w:rsidRDefault="00F0702A" w:rsidP="006769FF">
      <w:pPr>
        <w:spacing w:after="0" w:line="240" w:lineRule="auto"/>
      </w:pPr>
    </w:p>
    <w:p w14:paraId="47DBFA75" w14:textId="0A06B570" w:rsidR="00AF0312" w:rsidRDefault="00A73AB9" w:rsidP="006769FF">
      <w:pPr>
        <w:spacing w:after="0" w:line="240" w:lineRule="auto"/>
        <w:rPr>
          <w:b/>
          <w:sz w:val="36"/>
          <w:szCs w:val="36"/>
        </w:rPr>
      </w:pPr>
      <w:r w:rsidRPr="00F0702A">
        <w:rPr>
          <w:b/>
          <w:sz w:val="36"/>
          <w:szCs w:val="36"/>
        </w:rPr>
        <w:t>Photosensitization</w:t>
      </w:r>
    </w:p>
    <w:p w14:paraId="3E6B51D8" w14:textId="77777777" w:rsidR="00F0702A" w:rsidRPr="00F0702A" w:rsidRDefault="00F0702A" w:rsidP="006769FF">
      <w:pPr>
        <w:spacing w:after="0" w:line="240" w:lineRule="auto"/>
        <w:rPr>
          <w:b/>
          <w:sz w:val="36"/>
          <w:szCs w:val="36"/>
        </w:rPr>
      </w:pPr>
    </w:p>
    <w:p w14:paraId="537CC8AC" w14:textId="4BCD13B7" w:rsidR="006769FF" w:rsidRPr="001F409D" w:rsidRDefault="006769FF" w:rsidP="006769FF">
      <w:pPr>
        <w:spacing w:after="0" w:line="240" w:lineRule="auto"/>
      </w:pPr>
      <w:r w:rsidRPr="00F0702A">
        <w:rPr>
          <w:b/>
          <w:sz w:val="28"/>
          <w:szCs w:val="28"/>
        </w:rPr>
        <w:t>Basics</w:t>
      </w:r>
    </w:p>
    <w:p w14:paraId="18152EBE" w14:textId="75DCC203" w:rsidR="006769FF" w:rsidRPr="00D44EEA" w:rsidRDefault="006769FF" w:rsidP="006769FF">
      <w:pPr>
        <w:spacing w:after="0" w:line="240" w:lineRule="auto"/>
        <w:rPr>
          <w:b/>
        </w:rPr>
      </w:pPr>
      <w:r w:rsidRPr="00D44EEA">
        <w:rPr>
          <w:b/>
        </w:rPr>
        <w:t>Overview</w:t>
      </w:r>
    </w:p>
    <w:p w14:paraId="7FAEE531" w14:textId="1B2CE212" w:rsidR="00A73AB9" w:rsidRPr="00D44EEA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D44EEA">
        <w:rPr>
          <w:rFonts w:eastAsia="Arial Unicode MS"/>
        </w:rPr>
        <w:t xml:space="preserve">Photosensitization is </w:t>
      </w:r>
      <w:r w:rsidR="001D4138" w:rsidRPr="00D44EEA">
        <w:rPr>
          <w:rFonts w:eastAsia="Arial Unicode MS"/>
        </w:rPr>
        <w:t xml:space="preserve">ultraviolet </w:t>
      </w:r>
      <w:r w:rsidRPr="00D44EEA">
        <w:rPr>
          <w:rFonts w:eastAsia="Arial Unicode MS"/>
        </w:rPr>
        <w:t xml:space="preserve">light-induced dermatitis </w:t>
      </w:r>
      <w:r w:rsidR="006C2C3A" w:rsidRPr="00D44EEA">
        <w:rPr>
          <w:rFonts w:eastAsia="Arial Unicode MS"/>
        </w:rPr>
        <w:t xml:space="preserve">(skin inflammation) </w:t>
      </w:r>
      <w:r w:rsidRPr="00D44EEA">
        <w:rPr>
          <w:rFonts w:eastAsia="Arial Unicode MS"/>
        </w:rPr>
        <w:t xml:space="preserve">caused by a light-active molecule in the skin </w:t>
      </w:r>
      <w:r w:rsidR="001D4138" w:rsidRPr="00D44EEA">
        <w:rPr>
          <w:rFonts w:eastAsia="Arial Unicode MS"/>
        </w:rPr>
        <w:t xml:space="preserve">that </w:t>
      </w:r>
      <w:r w:rsidRPr="00D44EEA">
        <w:rPr>
          <w:rFonts w:eastAsia="Arial Unicode MS"/>
        </w:rPr>
        <w:t>increases the sensitivity of the skin to sunlight</w:t>
      </w:r>
    </w:p>
    <w:p w14:paraId="739B9583" w14:textId="77777777" w:rsidR="00A73AB9" w:rsidRPr="00D44EEA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rPr>
          <w:rFonts w:eastAsia="Arial Unicode MS"/>
        </w:rPr>
        <w:t>Primary photosensitization is caused by a pr</w:t>
      </w:r>
      <w:r w:rsidR="0080713E" w:rsidRPr="00D44EEA">
        <w:rPr>
          <w:rFonts w:eastAsia="Arial Unicode MS"/>
        </w:rPr>
        <w:t xml:space="preserve">eformed molecule being eaten, </w:t>
      </w:r>
      <w:r w:rsidRPr="00D44EEA">
        <w:rPr>
          <w:rFonts w:eastAsia="Arial Unicode MS"/>
        </w:rPr>
        <w:t>absorbed through the skin</w:t>
      </w:r>
      <w:r w:rsidR="0080713E" w:rsidRPr="00D44EEA">
        <w:rPr>
          <w:rFonts w:eastAsia="Arial Unicode MS"/>
        </w:rPr>
        <w:t>, or injected</w:t>
      </w:r>
    </w:p>
    <w:p w14:paraId="32C3C797" w14:textId="23E97BF9" w:rsidR="006769FF" w:rsidRPr="00D44EEA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rPr>
          <w:rFonts w:eastAsia="Arial Unicode MS"/>
        </w:rPr>
        <w:t>Secondary photosensitization is caused by the liver being unable to process chlorophyll from plant material properly, allowing a light-active breakdown product to accumulate in the skin</w:t>
      </w:r>
    </w:p>
    <w:p w14:paraId="0C1249FD" w14:textId="77777777" w:rsidR="00F0702A" w:rsidRDefault="00F0702A" w:rsidP="006769FF">
      <w:pPr>
        <w:spacing w:after="0" w:line="240" w:lineRule="auto"/>
        <w:rPr>
          <w:b/>
        </w:rPr>
      </w:pPr>
    </w:p>
    <w:p w14:paraId="166AB623" w14:textId="157A3364" w:rsidR="006769FF" w:rsidRPr="00D44EEA" w:rsidRDefault="006769FF" w:rsidP="006769FF">
      <w:pPr>
        <w:spacing w:after="0" w:line="240" w:lineRule="auto"/>
        <w:rPr>
          <w:b/>
        </w:rPr>
      </w:pPr>
      <w:r w:rsidRPr="00D44EEA">
        <w:rPr>
          <w:b/>
        </w:rPr>
        <w:t>Signalment</w:t>
      </w:r>
    </w:p>
    <w:p w14:paraId="16DA186F" w14:textId="76F2F0BA" w:rsidR="006769FF" w:rsidRPr="00D44EEA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 xml:space="preserve">No </w:t>
      </w:r>
      <w:r w:rsidRPr="001F409D">
        <w:rPr>
          <w:rFonts w:eastAsia="Arial Unicode MS"/>
        </w:rPr>
        <w:t>specific</w:t>
      </w:r>
      <w:r w:rsidRPr="00D44EEA">
        <w:t xml:space="preserve"> ages or breeds are more susceptible, but horses with lighter skin or large patches of white hair are more predisposed</w:t>
      </w:r>
    </w:p>
    <w:p w14:paraId="72B38E9F" w14:textId="77777777" w:rsidR="00F0702A" w:rsidRDefault="00F0702A" w:rsidP="006769FF">
      <w:pPr>
        <w:spacing w:after="0" w:line="240" w:lineRule="auto"/>
        <w:rPr>
          <w:b/>
        </w:rPr>
      </w:pPr>
    </w:p>
    <w:p w14:paraId="30CFF052" w14:textId="34AD2D67" w:rsidR="006769FF" w:rsidRPr="00D44EEA" w:rsidRDefault="006769FF" w:rsidP="006769FF">
      <w:pPr>
        <w:spacing w:after="0" w:line="240" w:lineRule="auto"/>
        <w:rPr>
          <w:b/>
        </w:rPr>
      </w:pPr>
      <w:r w:rsidRPr="00D44EEA">
        <w:rPr>
          <w:b/>
        </w:rPr>
        <w:t>Signs</w:t>
      </w:r>
    </w:p>
    <w:p w14:paraId="34434ADD" w14:textId="01FA2C21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Restlessness, scratching</w:t>
      </w:r>
      <w:r w:rsidR="001D4138" w:rsidRPr="00D44EEA">
        <w:rPr>
          <w:rFonts w:eastAsia="Arial Unicode MS"/>
        </w:rPr>
        <w:t>,</w:t>
      </w:r>
      <w:r w:rsidRPr="001F409D">
        <w:rPr>
          <w:rFonts w:eastAsia="Arial Unicode MS"/>
        </w:rPr>
        <w:t xml:space="preserve"> and rubbing of ears, eyelids, </w:t>
      </w:r>
      <w:r w:rsidR="001D4138" w:rsidRPr="00D44EEA">
        <w:rPr>
          <w:rFonts w:eastAsia="Arial Unicode MS"/>
        </w:rPr>
        <w:t xml:space="preserve">and </w:t>
      </w:r>
      <w:r w:rsidRPr="001F409D">
        <w:rPr>
          <w:rFonts w:eastAsia="Arial Unicode MS"/>
        </w:rPr>
        <w:t>muzzle</w:t>
      </w:r>
    </w:p>
    <w:p w14:paraId="149BC84B" w14:textId="77777777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Seeking out shade</w:t>
      </w:r>
    </w:p>
    <w:p w14:paraId="375FAE14" w14:textId="215A202B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Affected areas are usually on nonpigmented skin or areas of white hair</w:t>
      </w:r>
      <w:r w:rsidR="006C2C3A" w:rsidRPr="001F409D">
        <w:rPr>
          <w:rFonts w:eastAsia="Arial Unicode MS"/>
        </w:rPr>
        <w:t xml:space="preserve"> (muzzle, head, lower legs)</w:t>
      </w:r>
      <w:r w:rsidRPr="001F409D">
        <w:rPr>
          <w:rFonts w:eastAsia="Arial Unicode MS"/>
        </w:rPr>
        <w:t>, as well as areas with little hair cover</w:t>
      </w:r>
      <w:r w:rsidR="006C2C3A" w:rsidRPr="001F409D">
        <w:rPr>
          <w:rFonts w:eastAsia="Arial Unicode MS"/>
        </w:rPr>
        <w:t xml:space="preserve"> (eyelids, muzzle, ears, coronary bands, vulva, tail)</w:t>
      </w:r>
    </w:p>
    <w:p w14:paraId="6CA5FE05" w14:textId="77777777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Skin lesions initially become red and form blisters, followed by weeping and crust formation</w:t>
      </w:r>
    </w:p>
    <w:p w14:paraId="370EEDF8" w14:textId="1990D9C8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Obvious definition between affected and nonaffected areas of skin</w:t>
      </w:r>
    </w:p>
    <w:p w14:paraId="52CC0927" w14:textId="77777777" w:rsidR="00A73AB9" w:rsidRPr="001F409D" w:rsidRDefault="00A73AB9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If the signs are caused by liver disease, the following are also possible:</w:t>
      </w:r>
    </w:p>
    <w:p w14:paraId="7887F0A3" w14:textId="77777777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Jaundice, especially on the whites of the eyes and gums</w:t>
      </w:r>
    </w:p>
    <w:p w14:paraId="12278465" w14:textId="77777777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Weight loss</w:t>
      </w:r>
    </w:p>
    <w:p w14:paraId="110ECED1" w14:textId="77777777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Decreased appetite</w:t>
      </w:r>
    </w:p>
    <w:p w14:paraId="0020DD47" w14:textId="77777777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Diarrhea</w:t>
      </w:r>
    </w:p>
    <w:p w14:paraId="07D5ACDC" w14:textId="77777777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Mild or recurrent colic signs</w:t>
      </w:r>
    </w:p>
    <w:p w14:paraId="2B553304" w14:textId="64FF7E0F" w:rsidR="00A73AB9" w:rsidRPr="00D44EEA" w:rsidRDefault="00A73AB9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Change in behavior</w:t>
      </w:r>
    </w:p>
    <w:p w14:paraId="00D74D58" w14:textId="77777777" w:rsidR="00F0702A" w:rsidRDefault="00F0702A" w:rsidP="006769FF">
      <w:pPr>
        <w:spacing w:after="0" w:line="240" w:lineRule="auto"/>
        <w:rPr>
          <w:b/>
        </w:rPr>
      </w:pPr>
    </w:p>
    <w:p w14:paraId="63AA7235" w14:textId="6D737188" w:rsidR="006769FF" w:rsidRPr="00D44EEA" w:rsidRDefault="000B25B8" w:rsidP="006769FF">
      <w:pPr>
        <w:spacing w:after="0" w:line="240" w:lineRule="auto"/>
        <w:rPr>
          <w:b/>
        </w:rPr>
      </w:pPr>
      <w:r w:rsidRPr="00D44EEA">
        <w:rPr>
          <w:b/>
        </w:rPr>
        <w:t>Causes</w:t>
      </w:r>
    </w:p>
    <w:p w14:paraId="1CEC39E4" w14:textId="5B927FDB" w:rsidR="005502A7" w:rsidRPr="00F0702A" w:rsidRDefault="005502A7" w:rsidP="006769FF">
      <w:pPr>
        <w:spacing w:after="0" w:line="240" w:lineRule="auto"/>
        <w:rPr>
          <w:i/>
        </w:rPr>
      </w:pPr>
      <w:r w:rsidRPr="00F0702A">
        <w:rPr>
          <w:i/>
        </w:rPr>
        <w:t xml:space="preserve">Primary </w:t>
      </w:r>
      <w:r w:rsidR="00480288" w:rsidRPr="00F0702A">
        <w:rPr>
          <w:i/>
        </w:rPr>
        <w:t>Photosensitization</w:t>
      </w:r>
    </w:p>
    <w:p w14:paraId="2D75A31D" w14:textId="77777777" w:rsidR="005502A7" w:rsidRPr="00D44EEA" w:rsidRDefault="005502A7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1F409D">
        <w:rPr>
          <w:rFonts w:eastAsia="Arial Unicode MS"/>
        </w:rPr>
        <w:t>Ingestion</w:t>
      </w:r>
      <w:r w:rsidRPr="00D44EEA">
        <w:t xml:space="preserve"> of plants containing light-active molecules; a few common examples are:</w:t>
      </w:r>
    </w:p>
    <w:p w14:paraId="14FF6DB9" w14:textId="77777777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St. John’s wort</w:t>
      </w:r>
    </w:p>
    <w:p w14:paraId="2621120C" w14:textId="77777777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Buckwheat</w:t>
      </w:r>
    </w:p>
    <w:p w14:paraId="5DBE26E8" w14:textId="77777777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Perennial ryegrass</w:t>
      </w:r>
    </w:p>
    <w:p w14:paraId="62E7763C" w14:textId="77777777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Alsike clover</w:t>
      </w:r>
    </w:p>
    <w:p w14:paraId="64AFC179" w14:textId="6BDA78F3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Alfalfa</w:t>
      </w:r>
    </w:p>
    <w:p w14:paraId="459E2B74" w14:textId="77777777" w:rsidR="005502A7" w:rsidRPr="00D44EEA" w:rsidRDefault="005502A7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1F409D">
        <w:rPr>
          <w:rFonts w:eastAsia="Arial Unicode MS"/>
        </w:rPr>
        <w:t>Drugs</w:t>
      </w:r>
      <w:r w:rsidRPr="00D44EEA">
        <w:t xml:space="preserve"> or medications:</w:t>
      </w:r>
    </w:p>
    <w:p w14:paraId="5FF5DB94" w14:textId="375EEB54" w:rsidR="005502A7" w:rsidRPr="00D44EEA" w:rsidRDefault="005502A7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Antibiotics</w:t>
      </w:r>
      <w:r w:rsidR="00480288" w:rsidRPr="00D44EEA">
        <w:t>—</w:t>
      </w:r>
      <w:r w:rsidRPr="00D44EEA">
        <w:t>tetracyclines, sulfa drugs</w:t>
      </w:r>
    </w:p>
    <w:p w14:paraId="75F59FD1" w14:textId="4F76C277" w:rsidR="005502A7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Sedatives</w:t>
      </w:r>
      <w:r w:rsidR="00480288" w:rsidRPr="00D44EEA">
        <w:t>—</w:t>
      </w:r>
      <w:r w:rsidRPr="00D44EEA">
        <w:t>acepromazine, chlorpromazine</w:t>
      </w:r>
    </w:p>
    <w:p w14:paraId="6B011A12" w14:textId="77777777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lastRenderedPageBreak/>
        <w:t>Furosemide</w:t>
      </w:r>
    </w:p>
    <w:p w14:paraId="24521C34" w14:textId="1A0F3DFA" w:rsidR="005502A7" w:rsidRPr="00D44EEA" w:rsidRDefault="005502A7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1F409D">
        <w:rPr>
          <w:rFonts w:eastAsia="Arial Unicode MS"/>
        </w:rPr>
        <w:t>Toxins</w:t>
      </w:r>
      <w:r w:rsidRPr="00D44EEA">
        <w:t xml:space="preserve"> </w:t>
      </w:r>
      <w:r w:rsidR="008B4B43" w:rsidRPr="00D44EEA">
        <w:t>produced by blue</w:t>
      </w:r>
      <w:r w:rsidR="00FA16DE" w:rsidRPr="00D44EEA">
        <w:t>–</w:t>
      </w:r>
      <w:r w:rsidR="008B4B43" w:rsidRPr="00D44EEA">
        <w:t>green algae or</w:t>
      </w:r>
      <w:r w:rsidRPr="00D44EEA">
        <w:t xml:space="preserve"> fungi that grow on various plants</w:t>
      </w:r>
    </w:p>
    <w:p w14:paraId="7D10AD83" w14:textId="77777777" w:rsidR="005502A7" w:rsidRPr="00D44EEA" w:rsidRDefault="005502A7" w:rsidP="006769FF">
      <w:pPr>
        <w:spacing w:after="0" w:line="240" w:lineRule="auto"/>
      </w:pPr>
    </w:p>
    <w:p w14:paraId="03DD6465" w14:textId="7817330B" w:rsidR="005502A7" w:rsidRPr="00F0702A" w:rsidRDefault="005502A7" w:rsidP="006769FF">
      <w:pPr>
        <w:spacing w:after="0" w:line="240" w:lineRule="auto"/>
        <w:rPr>
          <w:i/>
        </w:rPr>
      </w:pPr>
      <w:r w:rsidRPr="00F0702A">
        <w:rPr>
          <w:i/>
        </w:rPr>
        <w:t xml:space="preserve">Secondary </w:t>
      </w:r>
      <w:r w:rsidR="00FA16DE" w:rsidRPr="00F0702A">
        <w:rPr>
          <w:i/>
        </w:rPr>
        <w:t>Photosensitization</w:t>
      </w:r>
    </w:p>
    <w:p w14:paraId="5F611616" w14:textId="618A11AD" w:rsidR="005502A7" w:rsidRPr="00D44EEA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1F409D">
        <w:rPr>
          <w:rFonts w:eastAsia="Arial Unicode MS"/>
        </w:rPr>
        <w:t>Diseases</w:t>
      </w:r>
      <w:r w:rsidRPr="00D44EEA">
        <w:t xml:space="preserve"> causing chronic liver failure</w:t>
      </w:r>
      <w:r w:rsidR="00FA16DE" w:rsidRPr="00D44EEA">
        <w:t>:</w:t>
      </w:r>
    </w:p>
    <w:p w14:paraId="2A9927F4" w14:textId="77777777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Plant pyrrolizidine alkaloids; tansy ragwort, rattlebox</w:t>
      </w:r>
    </w:p>
    <w:p w14:paraId="509E8CF0" w14:textId="77777777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Bacteria causing chronic hepatitis or abscesses</w:t>
      </w:r>
    </w:p>
    <w:p w14:paraId="6D91B019" w14:textId="77777777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Liver cancer</w:t>
      </w:r>
    </w:p>
    <w:p w14:paraId="091D91EB" w14:textId="55C96521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Other toxins from plants or blue</w:t>
      </w:r>
      <w:r w:rsidR="00FA16DE" w:rsidRPr="00D44EEA">
        <w:t>–</w:t>
      </w:r>
      <w:r w:rsidRPr="00D44EEA">
        <w:t>green algae</w:t>
      </w:r>
    </w:p>
    <w:p w14:paraId="4E7387F6" w14:textId="77777777" w:rsidR="007C4CC4" w:rsidRPr="00D44EEA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1F409D">
        <w:rPr>
          <w:rFonts w:eastAsia="Arial Unicode MS"/>
        </w:rPr>
        <w:t>Diseases</w:t>
      </w:r>
      <w:r w:rsidRPr="00D44EEA">
        <w:t xml:space="preserve"> causing obstruction of bile ducts</w:t>
      </w:r>
    </w:p>
    <w:p w14:paraId="4133CCEC" w14:textId="77777777" w:rsidR="007C4CC4" w:rsidRPr="00D44EEA" w:rsidRDefault="007C4CC4" w:rsidP="001F409D">
      <w:pPr>
        <w:pStyle w:val="ListParagraph"/>
        <w:numPr>
          <w:ilvl w:val="0"/>
          <w:numId w:val="5"/>
        </w:numPr>
        <w:spacing w:after="0" w:line="240" w:lineRule="auto"/>
      </w:pPr>
      <w:r w:rsidRPr="00D44EEA">
        <w:t>Choleliths (gallstones), inflammation of bile ducts</w:t>
      </w:r>
    </w:p>
    <w:p w14:paraId="5BEAC9C6" w14:textId="77777777" w:rsidR="00F0702A" w:rsidRDefault="00F0702A" w:rsidP="006769FF">
      <w:pPr>
        <w:spacing w:after="0" w:line="240" w:lineRule="auto"/>
        <w:rPr>
          <w:b/>
        </w:rPr>
      </w:pPr>
    </w:p>
    <w:p w14:paraId="45B94FDA" w14:textId="5EBEE1D6" w:rsidR="000B25B8" w:rsidRPr="001F409D" w:rsidRDefault="000B25B8" w:rsidP="006769FF">
      <w:pPr>
        <w:spacing w:after="0" w:line="240" w:lineRule="auto"/>
        <w:rPr>
          <w:b/>
        </w:rPr>
      </w:pPr>
      <w:r w:rsidRPr="001F409D">
        <w:rPr>
          <w:b/>
        </w:rPr>
        <w:t>Risk Factors</w:t>
      </w:r>
    </w:p>
    <w:p w14:paraId="71393BA1" w14:textId="77777777" w:rsidR="007C4CC4" w:rsidRPr="00D44EEA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D44EEA">
        <w:rPr>
          <w:rFonts w:eastAsia="Arial Unicode MS"/>
        </w:rPr>
        <w:t>Exposure to plants and chemicals that cause primary photosensitization</w:t>
      </w:r>
    </w:p>
    <w:p w14:paraId="3BB17CBC" w14:textId="77777777" w:rsidR="007C4CC4" w:rsidRPr="00D44EEA" w:rsidRDefault="008B4B43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D44EEA">
        <w:rPr>
          <w:rFonts w:eastAsia="Arial Unicode MS"/>
        </w:rPr>
        <w:t>Chronic liver failure or bile duct</w:t>
      </w:r>
      <w:r w:rsidR="007C4CC4" w:rsidRPr="00D44EEA">
        <w:rPr>
          <w:rFonts w:eastAsia="Arial Unicode MS"/>
        </w:rPr>
        <w:t xml:space="preserve"> obstruction</w:t>
      </w:r>
    </w:p>
    <w:p w14:paraId="230B0BD8" w14:textId="77777777" w:rsidR="007C4CC4" w:rsidRPr="00D44EEA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D44EEA">
        <w:rPr>
          <w:rFonts w:eastAsia="Arial Unicode MS"/>
        </w:rPr>
        <w:t>Lack of skin pigment and/or sparse hair cover</w:t>
      </w:r>
    </w:p>
    <w:p w14:paraId="79D2253F" w14:textId="77777777" w:rsidR="007C4CC4" w:rsidRPr="00D44EEA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D44EEA">
        <w:rPr>
          <w:rFonts w:eastAsia="Arial Unicode MS"/>
        </w:rPr>
        <w:t>Exposure to sunlight</w:t>
      </w:r>
    </w:p>
    <w:p w14:paraId="4544F4A4" w14:textId="77777777" w:rsidR="00F0702A" w:rsidRDefault="00F0702A" w:rsidP="006769FF">
      <w:pPr>
        <w:spacing w:after="0" w:line="240" w:lineRule="auto"/>
        <w:rPr>
          <w:b/>
          <w:sz w:val="28"/>
          <w:szCs w:val="28"/>
        </w:rPr>
      </w:pPr>
    </w:p>
    <w:p w14:paraId="2D5E9D54" w14:textId="594B9FF9" w:rsidR="006769FF" w:rsidRPr="00D44EEA" w:rsidRDefault="000B25B8" w:rsidP="006769FF">
      <w:pPr>
        <w:spacing w:after="0" w:line="240" w:lineRule="auto"/>
        <w:rPr>
          <w:b/>
        </w:rPr>
      </w:pPr>
      <w:r w:rsidRPr="00F0702A">
        <w:rPr>
          <w:b/>
          <w:sz w:val="28"/>
          <w:szCs w:val="28"/>
        </w:rPr>
        <w:t>Treatment</w:t>
      </w:r>
    </w:p>
    <w:p w14:paraId="536FE928" w14:textId="454EBBBD" w:rsidR="006769FF" w:rsidRPr="001F409D" w:rsidRDefault="000B25B8" w:rsidP="006769FF">
      <w:pPr>
        <w:spacing w:after="0" w:line="240" w:lineRule="auto"/>
        <w:rPr>
          <w:b/>
        </w:rPr>
      </w:pPr>
      <w:r w:rsidRPr="001F409D">
        <w:rPr>
          <w:b/>
        </w:rPr>
        <w:t>Appropriate Health Care</w:t>
      </w:r>
    </w:p>
    <w:p w14:paraId="075080E5" w14:textId="77777777" w:rsidR="00372A31" w:rsidRPr="001F409D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Giving mineral oil or activated charcoal can help to prevent further toxin absorption and help to move it through the gut</w:t>
      </w:r>
    </w:p>
    <w:p w14:paraId="366D911B" w14:textId="77777777" w:rsidR="008B4B43" w:rsidRPr="001F409D" w:rsidRDefault="008B4B43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Keeping skin lesions clean and dry, and preventing self-trauma</w:t>
      </w:r>
    </w:p>
    <w:p w14:paraId="24649054" w14:textId="2553F1C0" w:rsidR="00372A31" w:rsidRPr="001F409D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 xml:space="preserve">If the skin lesions are severe, </w:t>
      </w:r>
      <w:r w:rsidR="00FA16DE" w:rsidRPr="00D44EEA">
        <w:rPr>
          <w:rFonts w:eastAsia="Arial Unicode MS"/>
        </w:rPr>
        <w:t>intravenous</w:t>
      </w:r>
      <w:r w:rsidR="00FA16DE" w:rsidRPr="001F409D">
        <w:rPr>
          <w:rFonts w:eastAsia="Arial Unicode MS"/>
        </w:rPr>
        <w:t xml:space="preserve"> </w:t>
      </w:r>
      <w:r w:rsidRPr="001F409D">
        <w:rPr>
          <w:rFonts w:eastAsia="Arial Unicode MS"/>
        </w:rPr>
        <w:t>fluids may be needed to prevent dehydration</w:t>
      </w:r>
    </w:p>
    <w:p w14:paraId="41019FFC" w14:textId="77777777" w:rsidR="000B25B8" w:rsidRPr="001F409D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Other specific treatments or supportive care may be needed if primary liver disease is present</w:t>
      </w:r>
    </w:p>
    <w:p w14:paraId="5ACC82D4" w14:textId="77777777" w:rsidR="00F0702A" w:rsidRDefault="00F0702A" w:rsidP="006769FF">
      <w:pPr>
        <w:spacing w:after="0" w:line="240" w:lineRule="auto"/>
        <w:rPr>
          <w:b/>
        </w:rPr>
      </w:pPr>
    </w:p>
    <w:p w14:paraId="5F4A128E" w14:textId="016A019D" w:rsidR="006769FF" w:rsidRPr="00D44EEA" w:rsidRDefault="000B25B8" w:rsidP="006769FF">
      <w:pPr>
        <w:spacing w:after="0" w:line="240" w:lineRule="auto"/>
        <w:rPr>
          <w:b/>
          <w:i/>
        </w:rPr>
      </w:pPr>
      <w:r w:rsidRPr="001F409D">
        <w:rPr>
          <w:b/>
        </w:rPr>
        <w:t>Activity</w:t>
      </w:r>
    </w:p>
    <w:p w14:paraId="37B6BDDC" w14:textId="77777777" w:rsidR="000B25B8" w:rsidRPr="001F409D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Restrict activity (stall rest, small paddock turnout)</w:t>
      </w:r>
    </w:p>
    <w:p w14:paraId="789E6674" w14:textId="6870F38D" w:rsidR="007C4CC4" w:rsidRPr="001F409D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 xml:space="preserve">Avoid sunlight during </w:t>
      </w:r>
      <w:r w:rsidR="00FA16DE" w:rsidRPr="00D44EEA">
        <w:rPr>
          <w:rFonts w:eastAsia="Arial Unicode MS"/>
        </w:rPr>
        <w:t xml:space="preserve">the </w:t>
      </w:r>
      <w:r w:rsidRPr="001F409D">
        <w:rPr>
          <w:rFonts w:eastAsia="Arial Unicode MS"/>
        </w:rPr>
        <w:t>recovery phase</w:t>
      </w:r>
    </w:p>
    <w:p w14:paraId="62261B5E" w14:textId="77777777" w:rsidR="00F0702A" w:rsidRDefault="00F0702A" w:rsidP="006769FF">
      <w:pPr>
        <w:spacing w:after="0" w:line="240" w:lineRule="auto"/>
        <w:rPr>
          <w:b/>
        </w:rPr>
      </w:pPr>
    </w:p>
    <w:p w14:paraId="34D7CEAF" w14:textId="72C3F1F4" w:rsidR="006769FF" w:rsidRPr="00D44EEA" w:rsidRDefault="000B25B8" w:rsidP="006769FF">
      <w:pPr>
        <w:spacing w:after="0" w:line="240" w:lineRule="auto"/>
        <w:rPr>
          <w:b/>
          <w:i/>
        </w:rPr>
      </w:pPr>
      <w:r w:rsidRPr="001F409D">
        <w:rPr>
          <w:b/>
        </w:rPr>
        <w:t>Diet</w:t>
      </w:r>
    </w:p>
    <w:p w14:paraId="5620F267" w14:textId="77777777" w:rsidR="000B25B8" w:rsidRPr="001F409D" w:rsidRDefault="007C4CC4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Remove any plants with light-active molecules from hay or pasture</w:t>
      </w:r>
    </w:p>
    <w:p w14:paraId="490049A9" w14:textId="50CE7DB8" w:rsidR="00372A31" w:rsidRPr="001F409D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1F409D">
        <w:rPr>
          <w:rFonts w:eastAsia="Arial Unicode MS"/>
        </w:rPr>
        <w:t>If liver failure is present, providing a low-protein, high-energy diet will help prevent further stress to the liver; good</w:t>
      </w:r>
      <w:r w:rsidR="00FA16DE" w:rsidRPr="00D44EEA">
        <w:rPr>
          <w:rFonts w:eastAsia="Arial Unicode MS"/>
        </w:rPr>
        <w:t xml:space="preserve"> </w:t>
      </w:r>
      <w:r w:rsidRPr="001F409D">
        <w:rPr>
          <w:rFonts w:eastAsia="Arial Unicode MS"/>
        </w:rPr>
        <w:t>quality grass hay can be supplemented with beet pulp, sorghum, or milo</w:t>
      </w:r>
    </w:p>
    <w:p w14:paraId="4EE48CD1" w14:textId="77777777" w:rsidR="00F0702A" w:rsidRDefault="00F0702A" w:rsidP="006769FF">
      <w:pPr>
        <w:spacing w:after="0" w:line="240" w:lineRule="auto"/>
        <w:rPr>
          <w:b/>
        </w:rPr>
      </w:pPr>
    </w:p>
    <w:p w14:paraId="21503301" w14:textId="6AF4DD8E" w:rsidR="006769FF" w:rsidRPr="001F409D" w:rsidRDefault="000B25B8" w:rsidP="006769FF">
      <w:pPr>
        <w:spacing w:after="0" w:line="240" w:lineRule="auto"/>
        <w:rPr>
          <w:b/>
        </w:rPr>
      </w:pPr>
      <w:r w:rsidRPr="001F409D">
        <w:rPr>
          <w:b/>
        </w:rPr>
        <w:t>Surgical Considerations</w:t>
      </w:r>
    </w:p>
    <w:p w14:paraId="1CC17885" w14:textId="7C9EFCEF" w:rsidR="000B25B8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Depending on the severity of the skin lesions, surgical removal of areas of dead tissue may be required</w:t>
      </w:r>
    </w:p>
    <w:p w14:paraId="2A573103" w14:textId="77777777" w:rsidR="00F0702A" w:rsidRDefault="00F0702A" w:rsidP="006769FF">
      <w:pPr>
        <w:spacing w:after="0" w:line="240" w:lineRule="auto"/>
        <w:rPr>
          <w:b/>
          <w:sz w:val="28"/>
          <w:szCs w:val="28"/>
        </w:rPr>
      </w:pPr>
    </w:p>
    <w:p w14:paraId="407C0622" w14:textId="30FB0E0F" w:rsidR="006769FF" w:rsidRPr="00D44EEA" w:rsidRDefault="000B25B8" w:rsidP="006769FF">
      <w:pPr>
        <w:spacing w:after="0" w:line="240" w:lineRule="auto"/>
        <w:rPr>
          <w:b/>
        </w:rPr>
      </w:pPr>
      <w:r w:rsidRPr="00F0702A">
        <w:rPr>
          <w:b/>
          <w:sz w:val="28"/>
          <w:szCs w:val="28"/>
        </w:rPr>
        <w:t>Medications</w:t>
      </w:r>
    </w:p>
    <w:p w14:paraId="710417DF" w14:textId="73F55CE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Anti-inflammatories</w:t>
      </w:r>
      <w:r w:rsidR="00FA16DE" w:rsidRPr="00D44EEA">
        <w:t>—</w:t>
      </w:r>
      <w:r w:rsidRPr="00D44EEA">
        <w:t>these may be prescribed to manage pain and inflammation from the skin lesions, as well as any painful liver conditions</w:t>
      </w:r>
    </w:p>
    <w:p w14:paraId="4514B7D4" w14:textId="26FA088C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Topical antibiotics</w:t>
      </w:r>
      <w:r w:rsidR="00FA16DE" w:rsidRPr="00D44EEA">
        <w:t>—</w:t>
      </w:r>
      <w:r w:rsidRPr="00D44EEA">
        <w:t>these may be used to prevent infection of skin lesions</w:t>
      </w:r>
    </w:p>
    <w:p w14:paraId="46DD168F" w14:textId="6126BBCC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Systemic antibiotics</w:t>
      </w:r>
      <w:r w:rsidR="00FA16DE" w:rsidRPr="00D44EEA">
        <w:t>—</w:t>
      </w:r>
      <w:r w:rsidRPr="00D44EEA">
        <w:t>if lesions are very severe, or there is suspicion about bacterial hepatitis, systemic treatment may be prescribed</w:t>
      </w:r>
    </w:p>
    <w:p w14:paraId="2AB73DEC" w14:textId="77777777" w:rsidR="006769FF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Specific therapies may be prescribed for primary liver disease</w:t>
      </w:r>
    </w:p>
    <w:p w14:paraId="14BBD377" w14:textId="77777777" w:rsidR="00F0702A" w:rsidRDefault="00F0702A" w:rsidP="006769FF">
      <w:pPr>
        <w:spacing w:after="0" w:line="240" w:lineRule="auto"/>
        <w:rPr>
          <w:b/>
          <w:sz w:val="28"/>
          <w:szCs w:val="28"/>
        </w:rPr>
      </w:pPr>
    </w:p>
    <w:p w14:paraId="77150BF4" w14:textId="6E001894" w:rsidR="006769FF" w:rsidRPr="00D44EEA" w:rsidRDefault="000B25B8" w:rsidP="006769FF">
      <w:pPr>
        <w:spacing w:after="0" w:line="240" w:lineRule="auto"/>
        <w:rPr>
          <w:b/>
        </w:rPr>
      </w:pPr>
      <w:r w:rsidRPr="00F0702A">
        <w:rPr>
          <w:b/>
          <w:sz w:val="28"/>
          <w:szCs w:val="28"/>
        </w:rPr>
        <w:lastRenderedPageBreak/>
        <w:t>Follow-Up</w:t>
      </w:r>
    </w:p>
    <w:p w14:paraId="135038F2" w14:textId="72A5F5E6" w:rsidR="006769FF" w:rsidRPr="001F409D" w:rsidRDefault="0038544F" w:rsidP="006769FF">
      <w:pPr>
        <w:spacing w:after="0" w:line="240" w:lineRule="auto"/>
        <w:rPr>
          <w:b/>
        </w:rPr>
      </w:pPr>
      <w:r w:rsidRPr="001F409D">
        <w:rPr>
          <w:b/>
        </w:rPr>
        <w:t>Patient Monitoring</w:t>
      </w:r>
    </w:p>
    <w:p w14:paraId="07A557C9" w14:textId="7777777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Monitor progression of skin lesions daily with both types of photosensitization</w:t>
      </w:r>
    </w:p>
    <w:p w14:paraId="6D257283" w14:textId="7777777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Monitor the horse’s attitude and appetite daily, and watch for signs of weight loss or depression</w:t>
      </w:r>
    </w:p>
    <w:p w14:paraId="50A70A25" w14:textId="7777777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Monitor bloodwork for liver enzyme levels weekly with liver involvement</w:t>
      </w:r>
    </w:p>
    <w:p w14:paraId="333CFF57" w14:textId="09F2E407" w:rsidR="0038544F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Perform liver biopsies every 4</w:t>
      </w:r>
      <w:r w:rsidR="00EB571E" w:rsidRPr="00D44EEA">
        <w:t>–</w:t>
      </w:r>
      <w:r w:rsidRPr="00D44EEA">
        <w:t>6 weeks to help guide treatment and prognosis</w:t>
      </w:r>
    </w:p>
    <w:p w14:paraId="5C3C0999" w14:textId="77777777" w:rsidR="00F0702A" w:rsidRDefault="00F0702A" w:rsidP="006769FF">
      <w:pPr>
        <w:spacing w:after="0" w:line="240" w:lineRule="auto"/>
        <w:rPr>
          <w:b/>
        </w:rPr>
      </w:pPr>
    </w:p>
    <w:p w14:paraId="4CAF93FF" w14:textId="04AC2CB7" w:rsidR="006769FF" w:rsidRPr="001F409D" w:rsidRDefault="0038544F" w:rsidP="006769FF">
      <w:pPr>
        <w:spacing w:after="0" w:line="240" w:lineRule="auto"/>
        <w:rPr>
          <w:b/>
        </w:rPr>
      </w:pPr>
      <w:r w:rsidRPr="001F409D">
        <w:rPr>
          <w:b/>
        </w:rPr>
        <w:t>Possible Complications</w:t>
      </w:r>
    </w:p>
    <w:p w14:paraId="06CD6A84" w14:textId="7777777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Secondary trauma and infections can be caused by the horse rubbing and biting at affected areas</w:t>
      </w:r>
    </w:p>
    <w:p w14:paraId="117C0B5E" w14:textId="77777777" w:rsidR="0038544F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If the photosensitization is caused by liver disease rather than directly light-active molecules, complications from liver disease can affect long-term prognosis</w:t>
      </w:r>
    </w:p>
    <w:p w14:paraId="3D120A06" w14:textId="77777777" w:rsidR="00F0702A" w:rsidRDefault="00F0702A" w:rsidP="006769FF">
      <w:pPr>
        <w:spacing w:after="0" w:line="240" w:lineRule="auto"/>
        <w:rPr>
          <w:b/>
        </w:rPr>
      </w:pPr>
    </w:p>
    <w:p w14:paraId="7483ADE7" w14:textId="0649175D" w:rsidR="006769FF" w:rsidRPr="001F409D" w:rsidRDefault="0038544F" w:rsidP="006769FF">
      <w:pPr>
        <w:spacing w:after="0" w:line="240" w:lineRule="auto"/>
        <w:rPr>
          <w:b/>
        </w:rPr>
      </w:pPr>
      <w:r w:rsidRPr="001F409D">
        <w:rPr>
          <w:b/>
        </w:rPr>
        <w:t>Expected Course and Prognosis</w:t>
      </w:r>
    </w:p>
    <w:p w14:paraId="7AB36476" w14:textId="194CEAF8" w:rsidR="00372A31" w:rsidRPr="00F0702A" w:rsidRDefault="00372A31" w:rsidP="00372A31">
      <w:pPr>
        <w:spacing w:after="0" w:line="240" w:lineRule="auto"/>
        <w:rPr>
          <w:i/>
        </w:rPr>
      </w:pPr>
      <w:r w:rsidRPr="00F0702A">
        <w:rPr>
          <w:i/>
        </w:rPr>
        <w:t xml:space="preserve">Primary </w:t>
      </w:r>
      <w:r w:rsidR="00EB571E" w:rsidRPr="00F0702A">
        <w:rPr>
          <w:i/>
        </w:rPr>
        <w:t>Photosensitization</w:t>
      </w:r>
    </w:p>
    <w:p w14:paraId="6458B841" w14:textId="103C2178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With removal of offending plants and supportive care the majority of horses make a full recovery</w:t>
      </w:r>
    </w:p>
    <w:p w14:paraId="3AA1785F" w14:textId="152CEF45" w:rsidR="00372A31" w:rsidRPr="00F0702A" w:rsidRDefault="00372A31" w:rsidP="00372A31">
      <w:pPr>
        <w:spacing w:after="0" w:line="240" w:lineRule="auto"/>
        <w:rPr>
          <w:i/>
        </w:rPr>
      </w:pPr>
      <w:r w:rsidRPr="00F0702A">
        <w:rPr>
          <w:i/>
        </w:rPr>
        <w:t xml:space="preserve">Secondary </w:t>
      </w:r>
      <w:r w:rsidR="00EB571E" w:rsidRPr="00F0702A">
        <w:rPr>
          <w:i/>
        </w:rPr>
        <w:t>Photosensitization</w:t>
      </w:r>
    </w:p>
    <w:p w14:paraId="5F93976C" w14:textId="77777777" w:rsidR="00372A31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Liver damage is often quite advanced once clinical signs are seen</w:t>
      </w:r>
    </w:p>
    <w:p w14:paraId="3C24EBF1" w14:textId="77777777" w:rsidR="0038544F" w:rsidRPr="00D44EEA" w:rsidRDefault="00372A31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Even with supportive care and a corrective diet, long-term prognosis is poor</w:t>
      </w:r>
    </w:p>
    <w:p w14:paraId="5BFA34C2" w14:textId="77777777" w:rsidR="00F0702A" w:rsidRDefault="00F0702A" w:rsidP="006769FF">
      <w:pPr>
        <w:spacing w:after="0" w:line="240" w:lineRule="auto"/>
        <w:rPr>
          <w:b/>
        </w:rPr>
      </w:pPr>
    </w:p>
    <w:p w14:paraId="0F3C1551" w14:textId="58129565" w:rsidR="006769FF" w:rsidRPr="00D44EEA" w:rsidRDefault="0038544F" w:rsidP="006769FF">
      <w:pPr>
        <w:spacing w:after="0" w:line="240" w:lineRule="auto"/>
        <w:rPr>
          <w:b/>
        </w:rPr>
      </w:pPr>
      <w:r w:rsidRPr="00F0702A">
        <w:rPr>
          <w:b/>
          <w:sz w:val="28"/>
          <w:szCs w:val="28"/>
        </w:rPr>
        <w:t>Key Points</w:t>
      </w:r>
    </w:p>
    <w:p w14:paraId="0F0A6D6A" w14:textId="77777777" w:rsidR="0080713E" w:rsidRPr="00D44EEA" w:rsidRDefault="0080713E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Both types of phot</w:t>
      </w:r>
      <w:r w:rsidR="00F12E8F" w:rsidRPr="00D44EEA">
        <w:t>osensitization affect light-colo</w:t>
      </w:r>
      <w:r w:rsidRPr="00D44EEA">
        <w:t>red areas and skin with relatively little hair</w:t>
      </w:r>
    </w:p>
    <w:p w14:paraId="1E143CB3" w14:textId="77777777" w:rsidR="0080713E" w:rsidRPr="00D44EEA" w:rsidRDefault="0080713E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Primary photosensitization is caused by preformed light-active molecules in the skin; a variety of plants, drugs, and toxins have been identified</w:t>
      </w:r>
    </w:p>
    <w:p w14:paraId="0969538E" w14:textId="77777777" w:rsidR="0080713E" w:rsidRPr="00D44EEA" w:rsidRDefault="0080713E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Removal of the inciting material and supportive care results in most cases of primary photosensitization resolving</w:t>
      </w:r>
    </w:p>
    <w:p w14:paraId="28B72EBA" w14:textId="77777777" w:rsidR="0080713E" w:rsidRPr="00D44EEA" w:rsidRDefault="0080713E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Secondary photosensitization is caused by liver damage or disease resulting in reduced processing of chlorophyll and accumulation of its byproducts in the skin</w:t>
      </w:r>
    </w:p>
    <w:p w14:paraId="16885BA2" w14:textId="77777777" w:rsidR="0038544F" w:rsidRPr="00D44EEA" w:rsidRDefault="0080713E" w:rsidP="001F409D">
      <w:pPr>
        <w:pStyle w:val="ListParagraph"/>
        <w:widowControl w:val="0"/>
        <w:numPr>
          <w:ilvl w:val="0"/>
          <w:numId w:val="4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</w:pPr>
      <w:r w:rsidRPr="00D44EEA">
        <w:t>As liver damage is usually quite advanced when secondary photosensitization is diagnosed, long-term prognosis is poor</w:t>
      </w:r>
    </w:p>
    <w:p w14:paraId="0400428F" w14:textId="77777777" w:rsidR="008954BE" w:rsidRPr="00D44EEA" w:rsidRDefault="008954BE" w:rsidP="001F409D">
      <w:pPr>
        <w:pStyle w:val="Bulletedtext"/>
        <w:numPr>
          <w:ilvl w:val="0"/>
          <w:numId w:val="0"/>
        </w:numPr>
        <w:rPr>
          <w:rFonts w:cs="Times New Roman"/>
        </w:rPr>
      </w:pPr>
      <w:r w:rsidRPr="006E2EF7">
        <w:rPr>
          <w:noProof/>
          <w:lang w:eastAsia="fr-FR" w:bidi="ar-SA"/>
        </w:rPr>
        <w:drawing>
          <wp:anchor distT="0" distB="0" distL="0" distR="0" simplePos="0" relativeHeight="251659264" behindDoc="1" locked="0" layoutInCell="1" allowOverlap="1" wp14:anchorId="5EC21F3A" wp14:editId="5834E3B6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8954BE" w:rsidRPr="00D44EEA" w14:paraId="6985B652" w14:textId="77777777" w:rsidTr="00AE7232">
        <w:tc>
          <w:tcPr>
            <w:tcW w:w="10254" w:type="dxa"/>
          </w:tcPr>
          <w:p w14:paraId="19062AB7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1CA15BE4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54EF026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05FD617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7A52CF7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6BAB5E8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3E14545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42B468D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B3E6AEE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4993941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53631C8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B207DDB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888F6E1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973D1AE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B3FE60A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D68E1B3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BA78896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52FC660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4DA094B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BA379D6" w14:textId="77777777" w:rsidR="008954BE" w:rsidRPr="00D44EEA" w:rsidRDefault="008954BE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49B04EBE" w14:textId="77777777" w:rsidR="008954BE" w:rsidRPr="00D44EEA" w:rsidRDefault="008954BE" w:rsidP="001F409D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23E44CE8" w14:textId="77777777" w:rsidR="003F2006" w:rsidRPr="0060740E" w:rsidRDefault="003F2006" w:rsidP="003F2006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0A8D72D6" w14:textId="3A31CF23" w:rsidR="00B7585A" w:rsidRPr="001F409D" w:rsidRDefault="003F2006" w:rsidP="003F2006">
      <w:pPr>
        <w:pStyle w:val="Bulletedtext"/>
        <w:numPr>
          <w:ilvl w:val="0"/>
          <w:numId w:val="0"/>
        </w:numPr>
        <w:ind w:left="432"/>
      </w:pPr>
      <w:bookmarkStart w:id="0" w:name="_GoBack"/>
      <w:bookmarkEnd w:id="0"/>
    </w:p>
    <w:sectPr w:rsidR="00B7585A" w:rsidRPr="001F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aco">
    <w:altName w:val="Arial Unicode MS"/>
    <w:charset w:val="4D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EBF6272"/>
    <w:multiLevelType w:val="hybridMultilevel"/>
    <w:tmpl w:val="FEE67FF6"/>
    <w:lvl w:ilvl="0" w:tplc="56009D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42953"/>
    <w:multiLevelType w:val="hybridMultilevel"/>
    <w:tmpl w:val="1592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E1BD8"/>
    <w:multiLevelType w:val="hybridMultilevel"/>
    <w:tmpl w:val="BEFE8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D03CBD"/>
    <w:multiLevelType w:val="hybridMultilevel"/>
    <w:tmpl w:val="CE1A79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FF"/>
    <w:rsid w:val="000B25B8"/>
    <w:rsid w:val="001D4138"/>
    <w:rsid w:val="001F409D"/>
    <w:rsid w:val="002F6121"/>
    <w:rsid w:val="00372A31"/>
    <w:rsid w:val="0038544F"/>
    <w:rsid w:val="003F2006"/>
    <w:rsid w:val="00480288"/>
    <w:rsid w:val="005236E1"/>
    <w:rsid w:val="005502A7"/>
    <w:rsid w:val="005C1409"/>
    <w:rsid w:val="006769FF"/>
    <w:rsid w:val="006C2C3A"/>
    <w:rsid w:val="006E2EF7"/>
    <w:rsid w:val="00757DE9"/>
    <w:rsid w:val="007A64BF"/>
    <w:rsid w:val="007B5979"/>
    <w:rsid w:val="007C4CC4"/>
    <w:rsid w:val="0080713E"/>
    <w:rsid w:val="008954BE"/>
    <w:rsid w:val="008B4B43"/>
    <w:rsid w:val="009204BF"/>
    <w:rsid w:val="00962DA6"/>
    <w:rsid w:val="0097639C"/>
    <w:rsid w:val="009D77CB"/>
    <w:rsid w:val="00A73AB9"/>
    <w:rsid w:val="00AF0312"/>
    <w:rsid w:val="00C229A8"/>
    <w:rsid w:val="00CB6A42"/>
    <w:rsid w:val="00D44EEA"/>
    <w:rsid w:val="00D65D06"/>
    <w:rsid w:val="00DE7130"/>
    <w:rsid w:val="00EB571E"/>
    <w:rsid w:val="00F0702A"/>
    <w:rsid w:val="00F12E8F"/>
    <w:rsid w:val="00F24CC2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7334"/>
  <w15:docId w15:val="{EC85A0E0-5D93-43FA-B182-36DF0119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B9"/>
    <w:pPr>
      <w:ind w:left="720"/>
      <w:contextualSpacing/>
    </w:pPr>
  </w:style>
  <w:style w:type="paragraph" w:customStyle="1" w:styleId="Bulletedtext">
    <w:name w:val="Bulleted text"/>
    <w:basedOn w:val="Normal"/>
    <w:rsid w:val="002F6121"/>
    <w:pPr>
      <w:widowControl w:val="0"/>
      <w:numPr>
        <w:numId w:val="2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Contactinfo">
    <w:name w:val="Contact info"/>
    <w:basedOn w:val="Normal"/>
    <w:rsid w:val="002F6121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customStyle="1" w:styleId="TableContents">
    <w:name w:val="Table Contents"/>
    <w:basedOn w:val="Normal"/>
    <w:rsid w:val="008954B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4</cp:revision>
  <dcterms:created xsi:type="dcterms:W3CDTF">2019-01-30T13:24:00Z</dcterms:created>
  <dcterms:modified xsi:type="dcterms:W3CDTF">2019-08-12T12:22:00Z</dcterms:modified>
</cp:coreProperties>
</file>