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5DB16" w14:textId="77777777" w:rsidR="003A0718" w:rsidRPr="00385FEF" w:rsidRDefault="003A0718" w:rsidP="00053E31">
      <w:pPr>
        <w:spacing w:after="0" w:line="240" w:lineRule="auto"/>
        <w:jc w:val="center"/>
        <w:outlineLvl w:val="0"/>
        <w:rPr>
          <w:b/>
        </w:rPr>
      </w:pPr>
      <w:r w:rsidRPr="00780FD9">
        <w:rPr>
          <w:b/>
          <w:noProof/>
          <w:lang w:eastAsia="fr-FR"/>
        </w:rPr>
        <w:drawing>
          <wp:anchor distT="0" distB="0" distL="0" distR="0" simplePos="0" relativeHeight="251659264" behindDoc="0" locked="0" layoutInCell="1" allowOverlap="1" wp14:anchorId="7AD063F7" wp14:editId="2797F4DE">
            <wp:simplePos x="0" y="0"/>
            <wp:positionH relativeFrom="page">
              <wp:posOffset>6493955</wp:posOffset>
            </wp:positionH>
            <wp:positionV relativeFrom="page">
              <wp:posOffset>727091</wp:posOffset>
            </wp:positionV>
            <wp:extent cx="756285" cy="756285"/>
            <wp:effectExtent l="0" t="0" r="571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EF">
        <w:rPr>
          <w:b/>
        </w:rPr>
        <w:t>CLIENT EDUCATION HANDOUT</w:t>
      </w:r>
    </w:p>
    <w:p w14:paraId="3B72A014" w14:textId="77777777" w:rsidR="003A0718" w:rsidRPr="00385FEF" w:rsidRDefault="003A0718" w:rsidP="003A0718">
      <w:pPr>
        <w:spacing w:after="0" w:line="240" w:lineRule="auto"/>
        <w:jc w:val="center"/>
        <w:rPr>
          <w:b/>
        </w:rPr>
      </w:pPr>
    </w:p>
    <w:p w14:paraId="3773E4E0" w14:textId="77777777" w:rsidR="003A0718" w:rsidRPr="00385FEF" w:rsidRDefault="003A0718" w:rsidP="00053E31">
      <w:pPr>
        <w:pStyle w:val="Contactinfo"/>
        <w:outlineLvl w:val="0"/>
        <w:rPr>
          <w:b/>
        </w:rPr>
      </w:pPr>
      <w:r w:rsidRPr="00385FEF">
        <w:rPr>
          <w:b/>
        </w:rPr>
        <w:t>Customer Name, Street Address, City, State, Zip code</w:t>
      </w:r>
    </w:p>
    <w:p w14:paraId="74203565" w14:textId="77777777" w:rsidR="003A0718" w:rsidRPr="00385FEF" w:rsidRDefault="003A0718" w:rsidP="00053E31">
      <w:pPr>
        <w:pStyle w:val="Contactinfo"/>
        <w:outlineLvl w:val="0"/>
        <w:rPr>
          <w:b/>
        </w:rPr>
      </w:pPr>
      <w:r w:rsidRPr="00385FEF">
        <w:rPr>
          <w:b/>
        </w:rPr>
        <w:t>Phone number, Alt. phone number, Fax number, e-mail address, web site</w:t>
      </w:r>
      <w:r w:rsidRPr="00385FEF">
        <w:rPr>
          <w:b/>
        </w:rPr>
        <w:tab/>
      </w:r>
      <w:r w:rsidRPr="00385FEF">
        <w:rPr>
          <w:b/>
        </w:rPr>
        <w:tab/>
      </w:r>
      <w:r w:rsidRPr="00385FEF">
        <w:rPr>
          <w:b/>
        </w:rPr>
        <w:tab/>
      </w:r>
    </w:p>
    <w:p w14:paraId="4DB2F336" w14:textId="77777777" w:rsidR="000E1F24" w:rsidRDefault="000E1F24" w:rsidP="00053E31">
      <w:pPr>
        <w:spacing w:after="0" w:line="240" w:lineRule="auto"/>
        <w:outlineLvl w:val="0"/>
        <w:rPr>
          <w:b/>
          <w:sz w:val="36"/>
          <w:szCs w:val="36"/>
        </w:rPr>
      </w:pPr>
    </w:p>
    <w:p w14:paraId="4A7C44FB" w14:textId="78FAEF15" w:rsidR="00AF0312" w:rsidRDefault="000D7573" w:rsidP="00053E31">
      <w:pPr>
        <w:spacing w:after="0" w:line="240" w:lineRule="auto"/>
        <w:outlineLvl w:val="0"/>
        <w:rPr>
          <w:b/>
          <w:sz w:val="36"/>
          <w:szCs w:val="36"/>
        </w:rPr>
      </w:pPr>
      <w:r w:rsidRPr="000E1F24">
        <w:rPr>
          <w:b/>
          <w:sz w:val="36"/>
          <w:szCs w:val="36"/>
        </w:rPr>
        <w:t>Sarcoid</w:t>
      </w:r>
    </w:p>
    <w:p w14:paraId="03B21BDC" w14:textId="77777777" w:rsidR="000E1F24" w:rsidRPr="00780FD9" w:rsidRDefault="000E1F24" w:rsidP="00053E31">
      <w:pPr>
        <w:spacing w:after="0" w:line="240" w:lineRule="auto"/>
        <w:outlineLvl w:val="0"/>
      </w:pPr>
    </w:p>
    <w:p w14:paraId="1C6F4028" w14:textId="736B2797" w:rsidR="006769FF" w:rsidRPr="00385FEF" w:rsidRDefault="000D7573" w:rsidP="006769FF">
      <w:pPr>
        <w:spacing w:after="0" w:line="240" w:lineRule="auto"/>
        <w:rPr>
          <w:b/>
        </w:rPr>
      </w:pPr>
      <w:r w:rsidRPr="000E1F24">
        <w:rPr>
          <w:b/>
          <w:sz w:val="28"/>
          <w:szCs w:val="28"/>
        </w:rPr>
        <w:t>Basics</w:t>
      </w:r>
    </w:p>
    <w:p w14:paraId="72FCF261" w14:textId="25240D9F" w:rsidR="006769FF" w:rsidRPr="00385FEF" w:rsidRDefault="006769FF" w:rsidP="00053E31">
      <w:pPr>
        <w:spacing w:after="0" w:line="240" w:lineRule="auto"/>
        <w:outlineLvl w:val="0"/>
        <w:rPr>
          <w:b/>
        </w:rPr>
      </w:pPr>
      <w:r w:rsidRPr="00385FEF">
        <w:rPr>
          <w:b/>
        </w:rPr>
        <w:t>Overview</w:t>
      </w:r>
    </w:p>
    <w:p w14:paraId="6CEB67C0" w14:textId="4FB4D53E" w:rsidR="00F106D3" w:rsidRPr="00385FEF" w:rsidRDefault="007E5AF5" w:rsidP="00F106D3">
      <w:pPr>
        <w:pStyle w:val="ListParagraph"/>
        <w:numPr>
          <w:ilvl w:val="0"/>
          <w:numId w:val="1"/>
        </w:numPr>
        <w:spacing w:after="0" w:line="240" w:lineRule="auto"/>
      </w:pPr>
      <w:r w:rsidRPr="00385FEF">
        <w:t>The m</w:t>
      </w:r>
      <w:r w:rsidR="00F106D3" w:rsidRPr="00385FEF">
        <w:t>ost common skin tumor in the horse</w:t>
      </w:r>
      <w:r w:rsidR="00170FA4" w:rsidRPr="00385FEF">
        <w:t>; it</w:t>
      </w:r>
      <w:r w:rsidR="00B81E0E" w:rsidRPr="00385FEF">
        <w:t xml:space="preserve"> does not metastasize but is locally invasive</w:t>
      </w:r>
    </w:p>
    <w:p w14:paraId="1DF81BFA" w14:textId="6765903A" w:rsidR="00F106D3" w:rsidRPr="00385FEF" w:rsidRDefault="00F106D3" w:rsidP="00F106D3">
      <w:pPr>
        <w:pStyle w:val="ListParagraph"/>
        <w:numPr>
          <w:ilvl w:val="0"/>
          <w:numId w:val="1"/>
        </w:numPr>
        <w:spacing w:after="0" w:line="240" w:lineRule="auto"/>
      </w:pPr>
      <w:r w:rsidRPr="00385FEF">
        <w:t>Presents in a variety of forms from subtle hair</w:t>
      </w:r>
      <w:r w:rsidR="00D70C9D" w:rsidRPr="00385FEF">
        <w:t xml:space="preserve"> </w:t>
      </w:r>
      <w:r w:rsidRPr="00385FEF">
        <w:t xml:space="preserve">loss and scaling to more classical lumps and bumps, </w:t>
      </w:r>
      <w:r w:rsidR="00B81E0E" w:rsidRPr="00385FEF">
        <w:t>and sometimes</w:t>
      </w:r>
      <w:r w:rsidRPr="00385FEF">
        <w:t xml:space="preserve"> aggressive swollen, ulcerated</w:t>
      </w:r>
      <w:r w:rsidR="00170FA4" w:rsidRPr="00385FEF">
        <w:t>,</w:t>
      </w:r>
      <w:r w:rsidRPr="00385FEF">
        <w:t xml:space="preserve"> and weep</w:t>
      </w:r>
      <w:r w:rsidR="00B81E0E" w:rsidRPr="00385FEF">
        <w:t>ing lesions</w:t>
      </w:r>
    </w:p>
    <w:p w14:paraId="46E22EF0" w14:textId="5139EBD1" w:rsidR="00141CC3" w:rsidRPr="00385FEF" w:rsidRDefault="00B81E0E" w:rsidP="00780FD9">
      <w:pPr>
        <w:pStyle w:val="ListParagraph"/>
        <w:numPr>
          <w:ilvl w:val="0"/>
          <w:numId w:val="1"/>
        </w:numPr>
        <w:spacing w:after="0" w:line="240" w:lineRule="auto"/>
      </w:pPr>
      <w:r w:rsidRPr="00385FEF">
        <w:t xml:space="preserve">High tendency to recur after surgical removal unless wide </w:t>
      </w:r>
      <w:r w:rsidR="00141CC3" w:rsidRPr="00385FEF">
        <w:t xml:space="preserve">surgical </w:t>
      </w:r>
      <w:r w:rsidRPr="00385FEF">
        <w:t>margins are obtained</w:t>
      </w:r>
    </w:p>
    <w:p w14:paraId="7A59274F" w14:textId="77777777" w:rsidR="000E1F24" w:rsidRDefault="000E1F24" w:rsidP="00053E31">
      <w:pPr>
        <w:spacing w:after="0" w:line="240" w:lineRule="auto"/>
        <w:outlineLvl w:val="0"/>
        <w:rPr>
          <w:b/>
        </w:rPr>
      </w:pPr>
    </w:p>
    <w:p w14:paraId="6E2F817B" w14:textId="65293EC0" w:rsidR="006769FF" w:rsidRPr="00385FEF" w:rsidRDefault="006769FF" w:rsidP="00053E31">
      <w:pPr>
        <w:spacing w:after="0" w:line="240" w:lineRule="auto"/>
        <w:outlineLvl w:val="0"/>
        <w:rPr>
          <w:b/>
        </w:rPr>
      </w:pPr>
      <w:r w:rsidRPr="00385FEF">
        <w:rPr>
          <w:b/>
        </w:rPr>
        <w:t>Signalment</w:t>
      </w:r>
    </w:p>
    <w:p w14:paraId="2F8732C9" w14:textId="5D2A74B9" w:rsidR="006769FF" w:rsidRPr="00385FEF" w:rsidRDefault="00B81E0E" w:rsidP="00780FD9">
      <w:pPr>
        <w:pStyle w:val="ListParagraph"/>
        <w:numPr>
          <w:ilvl w:val="0"/>
          <w:numId w:val="1"/>
        </w:numPr>
        <w:spacing w:after="0" w:line="240" w:lineRule="auto"/>
      </w:pPr>
      <w:r w:rsidRPr="00385FEF">
        <w:t xml:space="preserve">Affects many breeds and ages, but is more common in Quarter </w:t>
      </w:r>
      <w:r w:rsidR="00170FA4" w:rsidRPr="00385FEF">
        <w:t>Horses</w:t>
      </w:r>
      <w:r w:rsidRPr="00385FEF">
        <w:t xml:space="preserve">, </w:t>
      </w:r>
      <w:r w:rsidR="00141CC3" w:rsidRPr="00385FEF">
        <w:t xml:space="preserve">less common in Standardbreds, </w:t>
      </w:r>
      <w:r w:rsidRPr="00385FEF">
        <w:t xml:space="preserve">and tends to occur at a younger age than many other tumors (mean age </w:t>
      </w:r>
      <w:r w:rsidR="00141CC3" w:rsidRPr="00385FEF">
        <w:t xml:space="preserve">of onset </w:t>
      </w:r>
      <w:r w:rsidRPr="00385FEF">
        <w:t>3</w:t>
      </w:r>
      <w:r w:rsidR="00170FA4" w:rsidRPr="00385FEF">
        <w:t>–</w:t>
      </w:r>
      <w:r w:rsidRPr="00385FEF">
        <w:t>9 years)</w:t>
      </w:r>
    </w:p>
    <w:p w14:paraId="494E27BB" w14:textId="76DF62C0" w:rsidR="006769FF" w:rsidRPr="00385FEF" w:rsidRDefault="006769FF" w:rsidP="00053E31">
      <w:pPr>
        <w:spacing w:after="0" w:line="240" w:lineRule="auto"/>
        <w:outlineLvl w:val="0"/>
        <w:rPr>
          <w:b/>
        </w:rPr>
      </w:pPr>
      <w:r w:rsidRPr="00385FEF">
        <w:rPr>
          <w:b/>
        </w:rPr>
        <w:t>Signs</w:t>
      </w:r>
    </w:p>
    <w:p w14:paraId="56571B41" w14:textId="77777777" w:rsidR="006769FF" w:rsidRPr="00385FEF" w:rsidRDefault="00141CC3" w:rsidP="006769FF">
      <w:pPr>
        <w:spacing w:after="0" w:line="240" w:lineRule="auto"/>
      </w:pPr>
      <w:r w:rsidRPr="00385FEF">
        <w:t>Variable clinical forms occur alone or in combination</w:t>
      </w:r>
      <w:r w:rsidR="0052721C" w:rsidRPr="00385FEF">
        <w:t xml:space="preserve">, and </w:t>
      </w:r>
      <w:r w:rsidR="00351B76" w:rsidRPr="00385FEF">
        <w:t xml:space="preserve">progression to </w:t>
      </w:r>
      <w:r w:rsidRPr="00385FEF">
        <w:t xml:space="preserve">more aggressive </w:t>
      </w:r>
      <w:r w:rsidR="00351B76" w:rsidRPr="00385FEF">
        <w:t>forms may occur over time or after skin trauma</w:t>
      </w:r>
      <w:r w:rsidRPr="00385FEF">
        <w:t>:</w:t>
      </w:r>
    </w:p>
    <w:p w14:paraId="66BD8326" w14:textId="371D7C05" w:rsidR="00141CC3" w:rsidRPr="00385FEF" w:rsidRDefault="00141CC3" w:rsidP="00141CC3">
      <w:pPr>
        <w:pStyle w:val="ListParagraph"/>
        <w:numPr>
          <w:ilvl w:val="0"/>
          <w:numId w:val="2"/>
        </w:numPr>
        <w:spacing w:after="0" w:line="240" w:lineRule="auto"/>
      </w:pPr>
      <w:r w:rsidRPr="00385FEF">
        <w:t>Occult</w:t>
      </w:r>
      <w:r w:rsidR="00170FA4" w:rsidRPr="00385FEF">
        <w:t>—</w:t>
      </w:r>
      <w:r w:rsidRPr="00385FEF">
        <w:t>areas of hair</w:t>
      </w:r>
      <w:r w:rsidR="00D70C9D" w:rsidRPr="00385FEF">
        <w:t xml:space="preserve"> </w:t>
      </w:r>
      <w:r w:rsidRPr="00385FEF">
        <w:t>loss, with some scaling and skin thickening</w:t>
      </w:r>
    </w:p>
    <w:p w14:paraId="0F5D3049" w14:textId="012BAEE0" w:rsidR="00141CC3" w:rsidRPr="00385FEF" w:rsidRDefault="00141CC3" w:rsidP="00141CC3">
      <w:pPr>
        <w:pStyle w:val="ListParagraph"/>
        <w:numPr>
          <w:ilvl w:val="0"/>
          <w:numId w:val="2"/>
        </w:numPr>
        <w:spacing w:after="0" w:line="240" w:lineRule="auto"/>
      </w:pPr>
      <w:r w:rsidRPr="00385FEF">
        <w:t>Verrucous</w:t>
      </w:r>
      <w:r w:rsidR="00170FA4" w:rsidRPr="00385FEF">
        <w:t>—</w:t>
      </w:r>
      <w:r w:rsidRPr="00385FEF">
        <w:t>small wart-like growths</w:t>
      </w:r>
    </w:p>
    <w:p w14:paraId="05120E14" w14:textId="03E07FCD" w:rsidR="00141CC3" w:rsidRPr="00385FEF" w:rsidRDefault="00141CC3" w:rsidP="00141CC3">
      <w:pPr>
        <w:pStyle w:val="ListParagraph"/>
        <w:numPr>
          <w:ilvl w:val="0"/>
          <w:numId w:val="2"/>
        </w:numPr>
        <w:spacing w:after="0" w:line="240" w:lineRule="auto"/>
      </w:pPr>
      <w:r w:rsidRPr="00385FEF">
        <w:t>Nodular</w:t>
      </w:r>
      <w:r w:rsidR="00170FA4" w:rsidRPr="00385FEF">
        <w:t>—</w:t>
      </w:r>
      <w:r w:rsidRPr="00385FEF">
        <w:t>classical raised lumps in or under the skin</w:t>
      </w:r>
    </w:p>
    <w:p w14:paraId="20B2D987" w14:textId="56938655" w:rsidR="00141CC3" w:rsidRPr="00385FEF" w:rsidRDefault="00141CC3" w:rsidP="00141CC3">
      <w:pPr>
        <w:pStyle w:val="ListParagraph"/>
        <w:numPr>
          <w:ilvl w:val="0"/>
          <w:numId w:val="2"/>
        </w:numPr>
        <w:spacing w:after="0" w:line="240" w:lineRule="auto"/>
      </w:pPr>
      <w:r w:rsidRPr="00385FEF">
        <w:t>Nodular and ulcerated</w:t>
      </w:r>
      <w:r w:rsidR="00170FA4" w:rsidRPr="00385FEF">
        <w:t>—</w:t>
      </w:r>
      <w:r w:rsidRPr="00385FEF">
        <w:t>irregularly raised areas with associated rawness and weeping</w:t>
      </w:r>
    </w:p>
    <w:p w14:paraId="084FD5BB" w14:textId="74954C51" w:rsidR="00141CC3" w:rsidRPr="00385FEF" w:rsidRDefault="00141CC3" w:rsidP="00141CC3">
      <w:pPr>
        <w:pStyle w:val="ListParagraph"/>
        <w:numPr>
          <w:ilvl w:val="0"/>
          <w:numId w:val="2"/>
        </w:numPr>
        <w:spacing w:after="0" w:line="240" w:lineRule="auto"/>
      </w:pPr>
      <w:r w:rsidRPr="00385FEF">
        <w:t>Malevolent</w:t>
      </w:r>
      <w:r w:rsidR="00170FA4" w:rsidRPr="00385FEF">
        <w:t>—</w:t>
      </w:r>
      <w:r w:rsidRPr="00385FEF">
        <w:t>rare invasive locally spreading and aggressive form</w:t>
      </w:r>
    </w:p>
    <w:p w14:paraId="1D900EFF" w14:textId="77777777" w:rsidR="000E1F24" w:rsidRDefault="000E1F24" w:rsidP="00053E31">
      <w:pPr>
        <w:spacing w:after="0" w:line="240" w:lineRule="auto"/>
        <w:outlineLvl w:val="0"/>
        <w:rPr>
          <w:b/>
        </w:rPr>
      </w:pPr>
    </w:p>
    <w:p w14:paraId="65DFC4BB" w14:textId="4946008D" w:rsidR="006769FF" w:rsidRPr="00385FEF" w:rsidRDefault="000B25B8" w:rsidP="00053E31">
      <w:pPr>
        <w:spacing w:after="0" w:line="240" w:lineRule="auto"/>
        <w:outlineLvl w:val="0"/>
        <w:rPr>
          <w:b/>
        </w:rPr>
      </w:pPr>
      <w:r w:rsidRPr="00385FEF">
        <w:rPr>
          <w:b/>
        </w:rPr>
        <w:t>Causes</w:t>
      </w:r>
    </w:p>
    <w:p w14:paraId="548B1678" w14:textId="5F60C766" w:rsidR="00141CC3" w:rsidRPr="00385FEF" w:rsidRDefault="00141CC3" w:rsidP="00053E31">
      <w:pPr>
        <w:spacing w:after="0" w:line="240" w:lineRule="auto"/>
        <w:outlineLvl w:val="0"/>
      </w:pPr>
      <w:r w:rsidRPr="00385FEF">
        <w:t xml:space="preserve">The exact cause of </w:t>
      </w:r>
      <w:proofErr w:type="spellStart"/>
      <w:r w:rsidRPr="00385FEF">
        <w:t>sarcoids</w:t>
      </w:r>
      <w:proofErr w:type="spellEnd"/>
      <w:r w:rsidRPr="00385FEF">
        <w:t xml:space="preserve"> is unknown, but </w:t>
      </w:r>
      <w:r w:rsidR="007E5AF5" w:rsidRPr="00385FEF">
        <w:t xml:space="preserve">it </w:t>
      </w:r>
      <w:r w:rsidRPr="00385FEF">
        <w:t>involves a combination of</w:t>
      </w:r>
      <w:r w:rsidR="00170FA4" w:rsidRPr="00385FEF">
        <w:t>:</w:t>
      </w:r>
    </w:p>
    <w:p w14:paraId="76E9DFF1" w14:textId="292B197A" w:rsidR="000B25B8" w:rsidRPr="00385FEF" w:rsidRDefault="00247664" w:rsidP="00141CC3">
      <w:pPr>
        <w:pStyle w:val="ListParagraph"/>
        <w:numPr>
          <w:ilvl w:val="0"/>
          <w:numId w:val="2"/>
        </w:numPr>
        <w:spacing w:after="0" w:line="240" w:lineRule="auto"/>
      </w:pPr>
      <w:r w:rsidRPr="00385FEF">
        <w:t>Viral infection</w:t>
      </w:r>
      <w:r w:rsidR="00170FA4" w:rsidRPr="00385FEF">
        <w:t>—</w:t>
      </w:r>
      <w:r w:rsidR="00351B76" w:rsidRPr="00385FEF">
        <w:t>with some types of</w:t>
      </w:r>
      <w:r w:rsidR="00141CC3" w:rsidRPr="00385FEF">
        <w:t xml:space="preserve"> bovine papillomavirus</w:t>
      </w:r>
      <w:r w:rsidRPr="00385FEF">
        <w:t xml:space="preserve"> (PV)</w:t>
      </w:r>
      <w:r w:rsidR="00141CC3" w:rsidRPr="00385FEF">
        <w:t xml:space="preserve"> that normally cause typical </w:t>
      </w:r>
      <w:proofErr w:type="spellStart"/>
      <w:r w:rsidR="00141CC3" w:rsidRPr="00385FEF">
        <w:t>papillomas</w:t>
      </w:r>
      <w:proofErr w:type="spellEnd"/>
      <w:r w:rsidR="00141CC3" w:rsidRPr="00385FEF">
        <w:t xml:space="preserve"> (“warts”) in cows</w:t>
      </w:r>
    </w:p>
    <w:p w14:paraId="05412567" w14:textId="64A27072" w:rsidR="00141CC3" w:rsidRPr="00385FEF" w:rsidRDefault="00247664" w:rsidP="00141CC3">
      <w:pPr>
        <w:pStyle w:val="ListParagraph"/>
        <w:numPr>
          <w:ilvl w:val="0"/>
          <w:numId w:val="2"/>
        </w:numPr>
        <w:spacing w:after="0" w:line="240" w:lineRule="auto"/>
      </w:pPr>
      <w:r w:rsidRPr="00385FEF">
        <w:t>Horse factors</w:t>
      </w:r>
      <w:r w:rsidR="00170FA4" w:rsidRPr="00385FEF">
        <w:t>—</w:t>
      </w:r>
      <w:r w:rsidR="00141CC3" w:rsidRPr="00385FEF">
        <w:t xml:space="preserve">inherited factors </w:t>
      </w:r>
      <w:r w:rsidRPr="00385FEF">
        <w:t>appear</w:t>
      </w:r>
      <w:r w:rsidR="00141CC3" w:rsidRPr="00385FEF">
        <w:t xml:space="preserve"> important to contracting </w:t>
      </w:r>
      <w:proofErr w:type="spellStart"/>
      <w:r w:rsidR="00141CC3" w:rsidRPr="00385FEF">
        <w:t>sarcoids</w:t>
      </w:r>
      <w:proofErr w:type="spellEnd"/>
      <w:r w:rsidRPr="00385FEF">
        <w:t xml:space="preserve">, and the cattle viruses are altered to horse-specific forms within affected horses. Normal horses can have the same </w:t>
      </w:r>
      <w:r w:rsidR="00E95F9A" w:rsidRPr="00385FEF">
        <w:t xml:space="preserve">cattle </w:t>
      </w:r>
      <w:r w:rsidRPr="00385FEF">
        <w:t>PV in their skin but do</w:t>
      </w:r>
      <w:r w:rsidR="00170FA4" w:rsidRPr="00385FEF">
        <w:t xml:space="preserve"> </w:t>
      </w:r>
      <w:r w:rsidRPr="00385FEF">
        <w:t>n</w:t>
      </w:r>
      <w:r w:rsidR="00170FA4" w:rsidRPr="00385FEF">
        <w:t>ot</w:t>
      </w:r>
      <w:r w:rsidRPr="00385FEF">
        <w:t xml:space="preserve"> develop </w:t>
      </w:r>
      <w:proofErr w:type="spellStart"/>
      <w:r w:rsidRPr="00385FEF">
        <w:t>sarcoids</w:t>
      </w:r>
      <w:proofErr w:type="spellEnd"/>
    </w:p>
    <w:p w14:paraId="2F4495D8" w14:textId="6B813A8B" w:rsidR="00141CC3" w:rsidRPr="00385FEF" w:rsidRDefault="00141CC3" w:rsidP="00141CC3">
      <w:pPr>
        <w:pStyle w:val="ListParagraph"/>
        <w:numPr>
          <w:ilvl w:val="0"/>
          <w:numId w:val="2"/>
        </w:numPr>
        <w:spacing w:after="0" w:line="240" w:lineRule="auto"/>
      </w:pPr>
      <w:r w:rsidRPr="00385FEF">
        <w:t>Environmental factors</w:t>
      </w:r>
      <w:r w:rsidR="00170FA4" w:rsidRPr="00385FEF">
        <w:t>—</w:t>
      </w:r>
      <w:r w:rsidR="00247664" w:rsidRPr="00385FEF">
        <w:t>outbreaks of disease occur sporadically, and transmission has been linked to flies and probably direct and indirect contact with</w:t>
      </w:r>
      <w:r w:rsidR="00E95F9A" w:rsidRPr="00385FEF">
        <w:t xml:space="preserve"> affected horses, donkeys</w:t>
      </w:r>
      <w:r w:rsidR="00170FA4" w:rsidRPr="00385FEF">
        <w:t>,</w:t>
      </w:r>
      <w:r w:rsidR="00E95F9A" w:rsidRPr="00385FEF">
        <w:t xml:space="preserve"> or mules</w:t>
      </w:r>
    </w:p>
    <w:p w14:paraId="0E55835B" w14:textId="77777777" w:rsidR="000E1F24" w:rsidRDefault="000E1F24" w:rsidP="00053E31">
      <w:pPr>
        <w:spacing w:after="0" w:line="240" w:lineRule="auto"/>
        <w:outlineLvl w:val="0"/>
        <w:rPr>
          <w:b/>
        </w:rPr>
      </w:pPr>
    </w:p>
    <w:p w14:paraId="17DE7DD6" w14:textId="3A9C0416" w:rsidR="000B25B8" w:rsidRPr="00780FD9" w:rsidRDefault="000B25B8" w:rsidP="00053E31">
      <w:pPr>
        <w:spacing w:after="0" w:line="240" w:lineRule="auto"/>
        <w:outlineLvl w:val="0"/>
        <w:rPr>
          <w:b/>
        </w:rPr>
      </w:pPr>
      <w:r w:rsidRPr="00780FD9">
        <w:rPr>
          <w:b/>
        </w:rPr>
        <w:t>Risk Factors</w:t>
      </w:r>
    </w:p>
    <w:p w14:paraId="4D8E2C6B" w14:textId="56BBE82A" w:rsidR="000B25B8" w:rsidRPr="00385FEF" w:rsidRDefault="00141CC3" w:rsidP="00780FD9">
      <w:pPr>
        <w:pStyle w:val="ListParagraph"/>
        <w:numPr>
          <w:ilvl w:val="0"/>
          <w:numId w:val="2"/>
        </w:numPr>
        <w:spacing w:after="0" w:line="240" w:lineRule="auto"/>
      </w:pPr>
      <w:r w:rsidRPr="00385FEF">
        <w:t xml:space="preserve">Higher risk appears inherited in some breeds and families of related horses. Quarter </w:t>
      </w:r>
      <w:r w:rsidR="00170FA4" w:rsidRPr="00385FEF">
        <w:t>Horses</w:t>
      </w:r>
      <w:r w:rsidRPr="00385FEF">
        <w:t xml:space="preserve"> and possibly </w:t>
      </w:r>
      <w:r w:rsidR="00D70C9D" w:rsidRPr="00385FEF">
        <w:t>Appaloosas</w:t>
      </w:r>
      <w:r w:rsidRPr="00385FEF">
        <w:t xml:space="preserve">, Arabs, and Thoroughbreds are at greater risk. </w:t>
      </w:r>
      <w:r w:rsidR="0034343F" w:rsidRPr="00385FEF">
        <w:t>The p</w:t>
      </w:r>
      <w:r w:rsidR="007E5AF5" w:rsidRPr="00385FEF">
        <w:t xml:space="preserve">resence of some horses with </w:t>
      </w:r>
      <w:proofErr w:type="spellStart"/>
      <w:r w:rsidR="007E5AF5" w:rsidRPr="00385FEF">
        <w:t>sarcoids</w:t>
      </w:r>
      <w:proofErr w:type="spellEnd"/>
      <w:r w:rsidR="007E5AF5" w:rsidRPr="00385FEF">
        <w:t xml:space="preserve"> </w:t>
      </w:r>
      <w:r w:rsidR="0034343F" w:rsidRPr="00385FEF">
        <w:t>in the region</w:t>
      </w:r>
      <w:r w:rsidR="007E5AF5" w:rsidRPr="00385FEF">
        <w:t xml:space="preserve"> may increase the risk, particularly </w:t>
      </w:r>
      <w:r w:rsidR="0052721C" w:rsidRPr="00385FEF">
        <w:t>with</w:t>
      </w:r>
      <w:r w:rsidR="0034343F" w:rsidRPr="00385FEF">
        <w:t xml:space="preserve"> concurrent poor management and hygiene practices</w:t>
      </w:r>
    </w:p>
    <w:p w14:paraId="205858DC" w14:textId="77777777" w:rsidR="000E1F24" w:rsidRDefault="000E1F24" w:rsidP="00053E31">
      <w:pPr>
        <w:spacing w:after="0" w:line="240" w:lineRule="auto"/>
        <w:outlineLvl w:val="0"/>
        <w:rPr>
          <w:b/>
        </w:rPr>
      </w:pPr>
    </w:p>
    <w:p w14:paraId="6FC44177" w14:textId="6E0A6883" w:rsidR="006769FF" w:rsidRPr="00385FEF" w:rsidRDefault="000B25B8" w:rsidP="00053E31">
      <w:pPr>
        <w:spacing w:after="0" w:line="240" w:lineRule="auto"/>
        <w:outlineLvl w:val="0"/>
        <w:rPr>
          <w:b/>
        </w:rPr>
      </w:pPr>
      <w:r w:rsidRPr="000E1F24">
        <w:rPr>
          <w:b/>
          <w:sz w:val="28"/>
          <w:szCs w:val="28"/>
        </w:rPr>
        <w:t>Treatment</w:t>
      </w:r>
    </w:p>
    <w:p w14:paraId="57105DD4" w14:textId="3AB6E957" w:rsidR="006769FF" w:rsidRPr="00780FD9" w:rsidRDefault="000B25B8" w:rsidP="00053E31">
      <w:pPr>
        <w:spacing w:after="0" w:line="240" w:lineRule="auto"/>
        <w:outlineLvl w:val="0"/>
        <w:rPr>
          <w:b/>
        </w:rPr>
      </w:pPr>
      <w:r w:rsidRPr="00780FD9">
        <w:rPr>
          <w:b/>
        </w:rPr>
        <w:t>Appropriate Health Care</w:t>
      </w:r>
    </w:p>
    <w:p w14:paraId="29EC6190" w14:textId="3952F052" w:rsidR="000B25B8" w:rsidRPr="00385FEF" w:rsidRDefault="00E95F9A" w:rsidP="00780FD9">
      <w:pPr>
        <w:pStyle w:val="ListParagraph"/>
        <w:numPr>
          <w:ilvl w:val="0"/>
          <w:numId w:val="2"/>
        </w:numPr>
        <w:spacing w:after="0" w:line="240" w:lineRule="auto"/>
      </w:pPr>
      <w:r w:rsidRPr="00385FEF">
        <w:lastRenderedPageBreak/>
        <w:t xml:space="preserve">Good wound hygiene and fly control, and hygienic management practices for all horses on the premises may help reduce the incidence of </w:t>
      </w:r>
      <w:proofErr w:type="spellStart"/>
      <w:r w:rsidRPr="00385FEF">
        <w:t>sarcoids</w:t>
      </w:r>
      <w:proofErr w:type="spellEnd"/>
      <w:r w:rsidRPr="00385FEF">
        <w:t xml:space="preserve"> and their transmission</w:t>
      </w:r>
    </w:p>
    <w:p w14:paraId="7E037EE9" w14:textId="77777777" w:rsidR="000E1F24" w:rsidRDefault="000E1F24" w:rsidP="00053E31">
      <w:pPr>
        <w:spacing w:after="0" w:line="240" w:lineRule="auto"/>
        <w:outlineLvl w:val="0"/>
        <w:rPr>
          <w:b/>
        </w:rPr>
      </w:pPr>
    </w:p>
    <w:p w14:paraId="5D690802" w14:textId="019CF8DA" w:rsidR="006769FF" w:rsidRPr="00385FEF" w:rsidRDefault="000B25B8" w:rsidP="00053E31">
      <w:pPr>
        <w:spacing w:after="0" w:line="240" w:lineRule="auto"/>
        <w:outlineLvl w:val="0"/>
        <w:rPr>
          <w:b/>
          <w:i/>
        </w:rPr>
      </w:pPr>
      <w:r w:rsidRPr="00780FD9">
        <w:rPr>
          <w:b/>
        </w:rPr>
        <w:t>Activity</w:t>
      </w:r>
    </w:p>
    <w:p w14:paraId="216509EC" w14:textId="209987B7" w:rsidR="000B25B8" w:rsidRPr="00385FEF" w:rsidRDefault="00E95F9A" w:rsidP="00780FD9">
      <w:pPr>
        <w:pStyle w:val="ListParagraph"/>
        <w:numPr>
          <w:ilvl w:val="0"/>
          <w:numId w:val="2"/>
        </w:numPr>
        <w:spacing w:after="0" w:line="240" w:lineRule="auto"/>
      </w:pPr>
      <w:r w:rsidRPr="00385FEF">
        <w:t xml:space="preserve">No restrictions </w:t>
      </w:r>
      <w:r w:rsidR="0034343F" w:rsidRPr="00385FEF">
        <w:t xml:space="preserve">are </w:t>
      </w:r>
      <w:r w:rsidRPr="00385FEF">
        <w:t>required unless dictated by healing surgical wounds</w:t>
      </w:r>
    </w:p>
    <w:p w14:paraId="1DBF416F" w14:textId="77777777" w:rsidR="000E1F24" w:rsidRDefault="000E1F24" w:rsidP="00053E31">
      <w:pPr>
        <w:spacing w:after="0" w:line="240" w:lineRule="auto"/>
        <w:outlineLvl w:val="0"/>
        <w:rPr>
          <w:b/>
        </w:rPr>
      </w:pPr>
    </w:p>
    <w:p w14:paraId="280F6481" w14:textId="6728A7EE" w:rsidR="006769FF" w:rsidRPr="00385FEF" w:rsidRDefault="000B25B8" w:rsidP="00053E31">
      <w:pPr>
        <w:spacing w:after="0" w:line="240" w:lineRule="auto"/>
        <w:outlineLvl w:val="0"/>
        <w:rPr>
          <w:b/>
          <w:i/>
        </w:rPr>
      </w:pPr>
      <w:r w:rsidRPr="00780FD9">
        <w:rPr>
          <w:b/>
        </w:rPr>
        <w:t>Diet</w:t>
      </w:r>
    </w:p>
    <w:p w14:paraId="718F5FDC" w14:textId="14BE1346" w:rsidR="000B25B8" w:rsidRPr="00385FEF" w:rsidRDefault="00E95F9A" w:rsidP="00780FD9">
      <w:pPr>
        <w:pStyle w:val="ListParagraph"/>
        <w:numPr>
          <w:ilvl w:val="0"/>
          <w:numId w:val="2"/>
        </w:numPr>
        <w:spacing w:after="0" w:line="240" w:lineRule="auto"/>
      </w:pPr>
      <w:r w:rsidRPr="00385FEF">
        <w:t>No specific dietary requirements</w:t>
      </w:r>
    </w:p>
    <w:p w14:paraId="60DFA2DF" w14:textId="77777777" w:rsidR="000E1F24" w:rsidRDefault="000E1F24" w:rsidP="00053E31">
      <w:pPr>
        <w:spacing w:after="0" w:line="240" w:lineRule="auto"/>
        <w:outlineLvl w:val="0"/>
        <w:rPr>
          <w:b/>
        </w:rPr>
      </w:pPr>
    </w:p>
    <w:p w14:paraId="2D66B91F" w14:textId="4D3E0F59" w:rsidR="006769FF" w:rsidRPr="00780FD9" w:rsidRDefault="000B25B8" w:rsidP="00053E31">
      <w:pPr>
        <w:spacing w:after="0" w:line="240" w:lineRule="auto"/>
        <w:outlineLvl w:val="0"/>
        <w:rPr>
          <w:b/>
        </w:rPr>
      </w:pPr>
      <w:r w:rsidRPr="00780FD9">
        <w:rPr>
          <w:b/>
        </w:rPr>
        <w:t>Surgical Considerations</w:t>
      </w:r>
    </w:p>
    <w:p w14:paraId="58D89AB3" w14:textId="3D57369F" w:rsidR="000B25B8" w:rsidRDefault="00E95F9A" w:rsidP="00780FD9">
      <w:pPr>
        <w:pStyle w:val="ListParagraph"/>
        <w:numPr>
          <w:ilvl w:val="0"/>
          <w:numId w:val="2"/>
        </w:numPr>
        <w:spacing w:after="0" w:line="240" w:lineRule="auto"/>
      </w:pPr>
      <w:r w:rsidRPr="00385FEF">
        <w:t xml:space="preserve">Surgical excision with wide margins is considered the optimal treatment for </w:t>
      </w:r>
      <w:proofErr w:type="spellStart"/>
      <w:r w:rsidRPr="00385FEF">
        <w:t>sarcoids</w:t>
      </w:r>
      <w:proofErr w:type="spellEnd"/>
      <w:r w:rsidRPr="00385FEF">
        <w:t>. Surgical margins should be checked for extension of tumor beyond the margins, indicating further excision is required.</w:t>
      </w:r>
      <w:r w:rsidR="0034343F" w:rsidRPr="00385FEF">
        <w:t xml:space="preserve"> Cryosurgery or laser surgery may be useful for restricted sites</w:t>
      </w:r>
    </w:p>
    <w:p w14:paraId="55D7339F" w14:textId="77777777" w:rsidR="000E1F24" w:rsidRPr="00385FEF" w:rsidRDefault="000E1F24" w:rsidP="000E1F24">
      <w:pPr>
        <w:pStyle w:val="ListParagraph"/>
        <w:spacing w:after="0" w:line="240" w:lineRule="auto"/>
      </w:pPr>
    </w:p>
    <w:p w14:paraId="6F18EE5A" w14:textId="38252B8D" w:rsidR="006769FF" w:rsidRPr="00385FEF" w:rsidRDefault="000B25B8" w:rsidP="00053E31">
      <w:pPr>
        <w:spacing w:after="0" w:line="240" w:lineRule="auto"/>
        <w:outlineLvl w:val="0"/>
        <w:rPr>
          <w:b/>
        </w:rPr>
      </w:pPr>
      <w:r w:rsidRPr="000E1F24">
        <w:rPr>
          <w:b/>
          <w:sz w:val="28"/>
          <w:szCs w:val="28"/>
        </w:rPr>
        <w:t>Medications</w:t>
      </w:r>
    </w:p>
    <w:p w14:paraId="2A7CDB5F" w14:textId="77777777" w:rsidR="00E95F9A" w:rsidRPr="00385FEF" w:rsidRDefault="00E95F9A" w:rsidP="00E95F9A">
      <w:pPr>
        <w:spacing w:after="0" w:line="240" w:lineRule="auto"/>
      </w:pPr>
      <w:r w:rsidRPr="00385FEF">
        <w:t xml:space="preserve">Multiple drugs have been used in attempts to treat </w:t>
      </w:r>
      <w:proofErr w:type="spellStart"/>
      <w:r w:rsidRPr="00385FEF">
        <w:t>sarcoids</w:t>
      </w:r>
      <w:proofErr w:type="spellEnd"/>
      <w:r w:rsidRPr="00385FEF">
        <w:t xml:space="preserve">, with or without initial surgery. Medical options may be best considered supplementary to surgical </w:t>
      </w:r>
      <w:proofErr w:type="gramStart"/>
      <w:r w:rsidRPr="00385FEF">
        <w:t>removal, but</w:t>
      </w:r>
      <w:proofErr w:type="gramEnd"/>
      <w:r w:rsidRPr="00385FEF">
        <w:t xml:space="preserve"> may have value as sole treatments for small superficial lesions.</w:t>
      </w:r>
    </w:p>
    <w:p w14:paraId="12F89BEA" w14:textId="221DFAD5" w:rsidR="00E95F9A" w:rsidRPr="00385FEF" w:rsidRDefault="00E95F9A" w:rsidP="00E95F9A">
      <w:pPr>
        <w:pStyle w:val="ListParagraph"/>
        <w:numPr>
          <w:ilvl w:val="0"/>
          <w:numId w:val="3"/>
        </w:numPr>
        <w:spacing w:after="0" w:line="240" w:lineRule="auto"/>
      </w:pPr>
      <w:r w:rsidRPr="00385FEF">
        <w:t>Chemotherapy</w:t>
      </w:r>
      <w:r w:rsidR="00170FA4" w:rsidRPr="00385FEF">
        <w:t>—</w:t>
      </w:r>
      <w:r w:rsidRPr="00385FEF">
        <w:t>topical or injected 5-fluorouracil, injected cisplatin, and other topical cytotoxic (cell-damaging) treatments such as bloodroot extracts have been reported with variable success rates. As with any chemotherapy options, a high standard of care is required to prevent contact of drugs with human skin or mucous membranes</w:t>
      </w:r>
    </w:p>
    <w:p w14:paraId="66820FA9" w14:textId="5A29F9A2" w:rsidR="00E95F9A" w:rsidRPr="00385FEF" w:rsidRDefault="007E5AF5" w:rsidP="00E95F9A">
      <w:pPr>
        <w:pStyle w:val="ListParagraph"/>
        <w:numPr>
          <w:ilvl w:val="0"/>
          <w:numId w:val="3"/>
        </w:numPr>
        <w:spacing w:after="0" w:line="240" w:lineRule="auto"/>
      </w:pPr>
      <w:r w:rsidRPr="00385FEF">
        <w:t>Immune stimulants</w:t>
      </w:r>
      <w:r w:rsidR="004D0D0B" w:rsidRPr="00385FEF">
        <w:t>—</w:t>
      </w:r>
      <w:r w:rsidRPr="00385FEF">
        <w:t xml:space="preserve">a range of options have been used </w:t>
      </w:r>
      <w:r w:rsidR="004D0D0B" w:rsidRPr="00385FEF">
        <w:t>with the aim of stimulating</w:t>
      </w:r>
      <w:r w:rsidRPr="00385FEF">
        <w:t xml:space="preserve"> the horse</w:t>
      </w:r>
      <w:r w:rsidR="004D0D0B" w:rsidRPr="00385FEF">
        <w:t>’</w:t>
      </w:r>
      <w:r w:rsidRPr="00385FEF">
        <w:t xml:space="preserve">s own immune system to remove the </w:t>
      </w:r>
      <w:proofErr w:type="spellStart"/>
      <w:r w:rsidRPr="00385FEF">
        <w:t>sar</w:t>
      </w:r>
      <w:r w:rsidR="00053E31" w:rsidRPr="00385FEF">
        <w:t>c</w:t>
      </w:r>
      <w:r w:rsidRPr="00385FEF">
        <w:t>oids</w:t>
      </w:r>
      <w:proofErr w:type="spellEnd"/>
      <w:r w:rsidRPr="00385FEF">
        <w:t>, including topical imiquimod, injected mycobacterial products and autologous vaccines</w:t>
      </w:r>
    </w:p>
    <w:p w14:paraId="269FB451" w14:textId="0AABC7C7" w:rsidR="007E5AF5" w:rsidRPr="00385FEF" w:rsidRDefault="007E5AF5" w:rsidP="00E95F9A">
      <w:pPr>
        <w:pStyle w:val="ListParagraph"/>
        <w:numPr>
          <w:ilvl w:val="0"/>
          <w:numId w:val="3"/>
        </w:numPr>
        <w:spacing w:after="0" w:line="240" w:lineRule="auto"/>
      </w:pPr>
      <w:r w:rsidRPr="00385FEF">
        <w:t>Antivirals</w:t>
      </w:r>
      <w:r w:rsidR="00006678" w:rsidRPr="00385FEF">
        <w:t>—</w:t>
      </w:r>
      <w:r w:rsidRPr="00385FEF">
        <w:t>a newer treatment option, and some success for smaller lesions is reported with topical antiviral creams or gels (e.g. acyclovir</w:t>
      </w:r>
      <w:r w:rsidR="00316290" w:rsidRPr="00385FEF">
        <w:t xml:space="preserve"> (</w:t>
      </w:r>
      <w:proofErr w:type="spellStart"/>
      <w:r w:rsidR="00316290" w:rsidRPr="00385FEF">
        <w:t>aciclovir</w:t>
      </w:r>
      <w:proofErr w:type="spellEnd"/>
      <w:r w:rsidR="00316290" w:rsidRPr="00385FEF">
        <w:t>)</w:t>
      </w:r>
      <w:r w:rsidRPr="00385FEF">
        <w:t>, cidofovir)</w:t>
      </w:r>
    </w:p>
    <w:p w14:paraId="562B036F" w14:textId="77777777" w:rsidR="000E1F24" w:rsidRDefault="000E1F24" w:rsidP="00780FD9">
      <w:pPr>
        <w:spacing w:after="0" w:line="240" w:lineRule="auto"/>
        <w:rPr>
          <w:b/>
        </w:rPr>
      </w:pPr>
    </w:p>
    <w:p w14:paraId="2CF082AF" w14:textId="1348427A" w:rsidR="006769FF" w:rsidRPr="00385FEF" w:rsidRDefault="000B25B8" w:rsidP="00780FD9">
      <w:pPr>
        <w:spacing w:after="0" w:line="240" w:lineRule="auto"/>
        <w:rPr>
          <w:b/>
        </w:rPr>
      </w:pPr>
      <w:r w:rsidRPr="000E1F24">
        <w:rPr>
          <w:b/>
          <w:sz w:val="28"/>
          <w:szCs w:val="28"/>
        </w:rPr>
        <w:t>Follow-Up</w:t>
      </w:r>
    </w:p>
    <w:p w14:paraId="17FFBA93" w14:textId="44B7E87F" w:rsidR="006769FF" w:rsidRPr="00780FD9" w:rsidRDefault="0038544F" w:rsidP="00053E31">
      <w:pPr>
        <w:spacing w:after="0" w:line="240" w:lineRule="auto"/>
        <w:outlineLvl w:val="0"/>
        <w:rPr>
          <w:b/>
        </w:rPr>
      </w:pPr>
      <w:r w:rsidRPr="00780FD9">
        <w:rPr>
          <w:b/>
        </w:rPr>
        <w:t>Patient Monitoring</w:t>
      </w:r>
    </w:p>
    <w:p w14:paraId="48A5677A" w14:textId="3809CB6D" w:rsidR="0038544F" w:rsidRPr="00385FEF" w:rsidRDefault="007E5AF5" w:rsidP="00780FD9">
      <w:pPr>
        <w:pStyle w:val="ListParagraph"/>
        <w:numPr>
          <w:ilvl w:val="0"/>
          <w:numId w:val="3"/>
        </w:numPr>
        <w:spacing w:after="0" w:line="240" w:lineRule="auto"/>
      </w:pPr>
      <w:r w:rsidRPr="00385FEF">
        <w:t>Careful patient monitoring for recurrence is important post</w:t>
      </w:r>
      <w:r w:rsidR="00316290" w:rsidRPr="00385FEF">
        <w:t xml:space="preserve"> </w:t>
      </w:r>
      <w:r w:rsidRPr="00385FEF">
        <w:t xml:space="preserve">treatment. </w:t>
      </w:r>
      <w:r w:rsidR="00351B76" w:rsidRPr="00385FEF">
        <w:t>Prompt f</w:t>
      </w:r>
      <w:r w:rsidRPr="00385FEF">
        <w:t xml:space="preserve">ollow-up with your veterinarian when advised, and </w:t>
      </w:r>
      <w:r w:rsidR="00351B76" w:rsidRPr="00385FEF">
        <w:t xml:space="preserve">early </w:t>
      </w:r>
      <w:r w:rsidRPr="00385FEF">
        <w:t xml:space="preserve">attention </w:t>
      </w:r>
      <w:r w:rsidR="0052721C" w:rsidRPr="00385FEF">
        <w:t>for</w:t>
      </w:r>
      <w:r w:rsidRPr="00385FEF">
        <w:t xml:space="preserve"> any </w:t>
      </w:r>
      <w:r w:rsidR="00351B76" w:rsidRPr="00385FEF">
        <w:t>apparent</w:t>
      </w:r>
      <w:r w:rsidRPr="00385FEF">
        <w:t xml:space="preserve"> recurrence</w:t>
      </w:r>
      <w:r w:rsidR="0034343F" w:rsidRPr="00385FEF">
        <w:t xml:space="preserve"> </w:t>
      </w:r>
      <w:r w:rsidR="00351B76" w:rsidRPr="00385FEF">
        <w:t>is important</w:t>
      </w:r>
      <w:r w:rsidRPr="00385FEF">
        <w:t xml:space="preserve">. Early repeat treatments, and more </w:t>
      </w:r>
      <w:r w:rsidR="00351B76" w:rsidRPr="00385FEF">
        <w:t>aggressive</w:t>
      </w:r>
      <w:r w:rsidRPr="00385FEF">
        <w:t xml:space="preserve"> initial treatments, are most likely to give successful outcomes</w:t>
      </w:r>
    </w:p>
    <w:p w14:paraId="46A1AB47" w14:textId="77777777" w:rsidR="000E1F24" w:rsidRDefault="000E1F24" w:rsidP="00053E31">
      <w:pPr>
        <w:spacing w:after="0" w:line="240" w:lineRule="auto"/>
        <w:outlineLvl w:val="0"/>
        <w:rPr>
          <w:b/>
        </w:rPr>
      </w:pPr>
    </w:p>
    <w:p w14:paraId="15E3DDB9" w14:textId="53D5A82D" w:rsidR="006769FF" w:rsidRPr="00780FD9" w:rsidRDefault="0038544F" w:rsidP="00053E31">
      <w:pPr>
        <w:spacing w:after="0" w:line="240" w:lineRule="auto"/>
        <w:outlineLvl w:val="0"/>
        <w:rPr>
          <w:b/>
        </w:rPr>
      </w:pPr>
      <w:r w:rsidRPr="00780FD9">
        <w:rPr>
          <w:b/>
        </w:rPr>
        <w:t>Possible Complications</w:t>
      </w:r>
    </w:p>
    <w:p w14:paraId="61BDBBFA" w14:textId="4875B4BE" w:rsidR="007E5AF5" w:rsidRPr="00385FEF" w:rsidRDefault="007E5AF5" w:rsidP="0038544F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385FEF">
        <w:t>Surgical</w:t>
      </w:r>
      <w:r w:rsidR="00385FEF" w:rsidRPr="00385FEF">
        <w:t>—</w:t>
      </w:r>
      <w:r w:rsidRPr="00385FEF">
        <w:t xml:space="preserve">wound infections or breakdown may occur </w:t>
      </w:r>
      <w:proofErr w:type="spellStart"/>
      <w:r w:rsidRPr="00385FEF">
        <w:t>post</w:t>
      </w:r>
      <w:r w:rsidR="00385FEF" w:rsidRPr="00385FEF">
        <w:t xml:space="preserve"> </w:t>
      </w:r>
      <w:r w:rsidRPr="00385FEF">
        <w:t>surgery</w:t>
      </w:r>
      <w:proofErr w:type="spellEnd"/>
      <w:r w:rsidRPr="00385FEF">
        <w:t>, particularly to achieve wide su</w:t>
      </w:r>
      <w:r w:rsidR="0052721C" w:rsidRPr="00385FEF">
        <w:t>rgical margins. Good wound care</w:t>
      </w:r>
      <w:r w:rsidRPr="00385FEF">
        <w:t xml:space="preserve"> and restriction of exercise </w:t>
      </w:r>
      <w:r w:rsidR="00351B76" w:rsidRPr="00385FEF">
        <w:t xml:space="preserve">as </w:t>
      </w:r>
      <w:r w:rsidRPr="00385FEF">
        <w:t>indicated will help limit complications. Restricted movement is a possible long-term complication at sites of excision</w:t>
      </w:r>
    </w:p>
    <w:p w14:paraId="46E14162" w14:textId="31913A96" w:rsidR="007E5AF5" w:rsidRPr="00385FEF" w:rsidRDefault="007E5AF5" w:rsidP="007E5AF5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385FEF">
        <w:t>Immune-stimulant medications can cause temporary severe local inflammatory responses, with a</w:t>
      </w:r>
      <w:r w:rsidR="00351B76" w:rsidRPr="00385FEF">
        <w:t>ssociated pain and discomfort</w:t>
      </w:r>
      <w:r w:rsidR="00385FEF" w:rsidRPr="00385FEF">
        <w:t>—</w:t>
      </w:r>
      <w:r w:rsidR="00351B76" w:rsidRPr="00385FEF">
        <w:t>t</w:t>
      </w:r>
      <w:r w:rsidRPr="00385FEF">
        <w:t>reatments may need to be reduced or delayed</w:t>
      </w:r>
    </w:p>
    <w:p w14:paraId="1C7BDFF4" w14:textId="77777777" w:rsidR="000E1F24" w:rsidRDefault="000E1F24" w:rsidP="00053E31">
      <w:pPr>
        <w:spacing w:after="0" w:line="240" w:lineRule="auto"/>
        <w:outlineLvl w:val="0"/>
        <w:rPr>
          <w:b/>
        </w:rPr>
      </w:pPr>
    </w:p>
    <w:p w14:paraId="7D19D10C" w14:textId="1AAA90A6" w:rsidR="006769FF" w:rsidRPr="00780FD9" w:rsidRDefault="0038544F" w:rsidP="00053E31">
      <w:pPr>
        <w:spacing w:after="0" w:line="240" w:lineRule="auto"/>
        <w:outlineLvl w:val="0"/>
        <w:rPr>
          <w:b/>
        </w:rPr>
      </w:pPr>
      <w:r w:rsidRPr="00780FD9">
        <w:rPr>
          <w:b/>
        </w:rPr>
        <w:t>Expected Course and Prognosis</w:t>
      </w:r>
    </w:p>
    <w:p w14:paraId="6275B690" w14:textId="6EF4E8E6" w:rsidR="0034343F" w:rsidRPr="00385FEF" w:rsidRDefault="0034343F" w:rsidP="0034343F">
      <w:pPr>
        <w:pStyle w:val="ListParagraph"/>
        <w:numPr>
          <w:ilvl w:val="0"/>
          <w:numId w:val="6"/>
        </w:numPr>
        <w:spacing w:after="0" w:line="240" w:lineRule="auto"/>
      </w:pPr>
      <w:r w:rsidRPr="00385FEF">
        <w:t>Progression of lesions is variable</w:t>
      </w:r>
      <w:r w:rsidR="00385FEF" w:rsidRPr="00385FEF">
        <w:t xml:space="preserve">— </w:t>
      </w:r>
      <w:r w:rsidRPr="00385FEF">
        <w:t xml:space="preserve">they may remain static for years, progress quickly or slowly into more aggressive forms, or occasionally </w:t>
      </w:r>
      <w:r w:rsidR="0052721C" w:rsidRPr="00385FEF">
        <w:t xml:space="preserve">regress </w:t>
      </w:r>
      <w:r w:rsidRPr="00385FEF">
        <w:t>spontaneously</w:t>
      </w:r>
    </w:p>
    <w:p w14:paraId="58E9A03B" w14:textId="77777777" w:rsidR="0034343F" w:rsidRPr="00385FEF" w:rsidRDefault="0034343F" w:rsidP="0034343F">
      <w:pPr>
        <w:pStyle w:val="ListParagraph"/>
        <w:numPr>
          <w:ilvl w:val="0"/>
          <w:numId w:val="6"/>
        </w:numPr>
        <w:spacing w:after="0" w:line="240" w:lineRule="auto"/>
      </w:pPr>
      <w:r w:rsidRPr="00385FEF">
        <w:t xml:space="preserve">The prognosis is poorer for aggressive </w:t>
      </w:r>
      <w:r w:rsidR="00351B76" w:rsidRPr="00385FEF">
        <w:t>or</w:t>
      </w:r>
      <w:r w:rsidRPr="00385FEF">
        <w:t xml:space="preserve"> large lesions</w:t>
      </w:r>
    </w:p>
    <w:p w14:paraId="15B4E32F" w14:textId="77777777" w:rsidR="0034343F" w:rsidRPr="00385FEF" w:rsidRDefault="0034343F" w:rsidP="0034343F">
      <w:pPr>
        <w:pStyle w:val="ListParagraph"/>
        <w:numPr>
          <w:ilvl w:val="0"/>
          <w:numId w:val="6"/>
        </w:numPr>
        <w:spacing w:after="0" w:line="240" w:lineRule="auto"/>
      </w:pPr>
      <w:r w:rsidRPr="00385FEF">
        <w:lastRenderedPageBreak/>
        <w:t xml:space="preserve">Early complete excision with wide margins, and checking </w:t>
      </w:r>
      <w:r w:rsidR="0052721C" w:rsidRPr="00385FEF">
        <w:t xml:space="preserve">adequacy </w:t>
      </w:r>
      <w:r w:rsidRPr="00385FEF">
        <w:t xml:space="preserve">of margins by histopathology, will </w:t>
      </w:r>
      <w:r w:rsidR="0052721C" w:rsidRPr="00385FEF">
        <w:t>improve the prognosis</w:t>
      </w:r>
    </w:p>
    <w:p w14:paraId="04F5ED26" w14:textId="77777777" w:rsidR="000E1F24" w:rsidRDefault="000E1F24" w:rsidP="00053E31">
      <w:pPr>
        <w:spacing w:after="0" w:line="240" w:lineRule="auto"/>
        <w:outlineLvl w:val="0"/>
        <w:rPr>
          <w:b/>
        </w:rPr>
      </w:pPr>
    </w:p>
    <w:p w14:paraId="544466B4" w14:textId="4C3AC074" w:rsidR="006769FF" w:rsidRPr="00385FEF" w:rsidRDefault="0038544F" w:rsidP="00053E31">
      <w:pPr>
        <w:spacing w:after="0" w:line="240" w:lineRule="auto"/>
        <w:outlineLvl w:val="0"/>
        <w:rPr>
          <w:b/>
        </w:rPr>
      </w:pPr>
      <w:r w:rsidRPr="000E1F24">
        <w:rPr>
          <w:b/>
          <w:sz w:val="28"/>
          <w:szCs w:val="28"/>
        </w:rPr>
        <w:t>Key Points</w:t>
      </w:r>
    </w:p>
    <w:p w14:paraId="5F24E26D" w14:textId="77777777" w:rsidR="0052721C" w:rsidRPr="00385FEF" w:rsidRDefault="0052721C" w:rsidP="0052721C">
      <w:pPr>
        <w:pStyle w:val="ListParagraph"/>
        <w:numPr>
          <w:ilvl w:val="0"/>
          <w:numId w:val="7"/>
        </w:numPr>
        <w:spacing w:after="0" w:line="240" w:lineRule="auto"/>
      </w:pPr>
      <w:proofErr w:type="spellStart"/>
      <w:r w:rsidRPr="00385FEF">
        <w:t>Sarcoids</w:t>
      </w:r>
      <w:proofErr w:type="spellEnd"/>
      <w:r w:rsidRPr="00385FEF">
        <w:t xml:space="preserve"> present in a variety of forms, and can be very locally invasive and aggressive tumors</w:t>
      </w:r>
    </w:p>
    <w:p w14:paraId="250F640A" w14:textId="743D6256" w:rsidR="0052721C" w:rsidRPr="00385FEF" w:rsidRDefault="0052721C" w:rsidP="0052721C">
      <w:pPr>
        <w:pStyle w:val="ListParagraph"/>
        <w:numPr>
          <w:ilvl w:val="0"/>
          <w:numId w:val="7"/>
        </w:numPr>
        <w:spacing w:after="0" w:line="240" w:lineRule="auto"/>
      </w:pPr>
      <w:r w:rsidRPr="00385FEF">
        <w:t xml:space="preserve">Biopsy is important to confirm </w:t>
      </w:r>
      <w:r w:rsidR="00351B76" w:rsidRPr="00385FEF">
        <w:t xml:space="preserve">the cause as other diseases can look like </w:t>
      </w:r>
      <w:proofErr w:type="spellStart"/>
      <w:r w:rsidR="00351B76" w:rsidRPr="00385FEF">
        <w:t>sarcoids</w:t>
      </w:r>
      <w:proofErr w:type="spellEnd"/>
      <w:r w:rsidR="00351B76" w:rsidRPr="00385FEF">
        <w:t>, and should</w:t>
      </w:r>
      <w:r w:rsidRPr="00385FEF">
        <w:t xml:space="preserve"> always be done prior to extensive surgery or other aggressive medical treatments</w:t>
      </w:r>
    </w:p>
    <w:p w14:paraId="5A7D9173" w14:textId="77777777" w:rsidR="0052721C" w:rsidRPr="00385FEF" w:rsidRDefault="0052721C" w:rsidP="0052721C">
      <w:pPr>
        <w:pStyle w:val="ListParagraph"/>
        <w:numPr>
          <w:ilvl w:val="0"/>
          <w:numId w:val="7"/>
        </w:numPr>
        <w:spacing w:after="0" w:line="240" w:lineRule="auto"/>
      </w:pPr>
      <w:r w:rsidRPr="00385FEF">
        <w:t xml:space="preserve">Early aggressive treatment for </w:t>
      </w:r>
      <w:proofErr w:type="spellStart"/>
      <w:r w:rsidRPr="00385FEF">
        <w:t>sarcoids</w:t>
      </w:r>
      <w:proofErr w:type="spellEnd"/>
      <w:r w:rsidRPr="00385FEF">
        <w:t>, including assessment of adequacy of surgical m</w:t>
      </w:r>
      <w:r w:rsidR="00A63E21" w:rsidRPr="00385FEF">
        <w:t>argins</w:t>
      </w:r>
      <w:r w:rsidRPr="00385FEF">
        <w:t xml:space="preserve"> and </w:t>
      </w:r>
      <w:r w:rsidR="00A63E21" w:rsidRPr="00385FEF">
        <w:t>immediate</w:t>
      </w:r>
      <w:r w:rsidRPr="00385FEF">
        <w:t xml:space="preserve"> wider excision</w:t>
      </w:r>
      <w:r w:rsidR="00A63E21" w:rsidRPr="00385FEF">
        <w:t xml:space="preserve"> or other treatments</w:t>
      </w:r>
      <w:r w:rsidRPr="00385FEF">
        <w:t xml:space="preserve"> </w:t>
      </w:r>
      <w:r w:rsidR="00A63E21" w:rsidRPr="00385FEF">
        <w:t xml:space="preserve">if </w:t>
      </w:r>
      <w:r w:rsidRPr="00385FEF">
        <w:t>indicated</w:t>
      </w:r>
      <w:r w:rsidR="00351B76" w:rsidRPr="00385FEF">
        <w:t>, will give the best prognosis</w:t>
      </w:r>
    </w:p>
    <w:p w14:paraId="1E41BD00" w14:textId="71F26743" w:rsidR="00F106D3" w:rsidRPr="00385FEF" w:rsidRDefault="0052721C" w:rsidP="006769FF">
      <w:pPr>
        <w:pStyle w:val="ListParagraph"/>
        <w:numPr>
          <w:ilvl w:val="0"/>
          <w:numId w:val="7"/>
        </w:numPr>
        <w:spacing w:after="0" w:line="240" w:lineRule="auto"/>
      </w:pPr>
      <w:r w:rsidRPr="00385FEF">
        <w:t xml:space="preserve">Early repeat surgery and/or additional treatments </w:t>
      </w:r>
      <w:r w:rsidR="00A63E21" w:rsidRPr="00385FEF">
        <w:t xml:space="preserve">for recurrence </w:t>
      </w:r>
      <w:r w:rsidRPr="00385FEF">
        <w:t xml:space="preserve">will </w:t>
      </w:r>
      <w:r w:rsidR="00351B76" w:rsidRPr="00385FEF">
        <w:t xml:space="preserve">also </w:t>
      </w:r>
      <w:r w:rsidRPr="00385FEF">
        <w:t>improve the prognosis</w:t>
      </w:r>
    </w:p>
    <w:p w14:paraId="265FF97B" w14:textId="77777777" w:rsidR="003A0718" w:rsidRPr="00385FEF" w:rsidRDefault="003A0718" w:rsidP="003A0718">
      <w:pPr>
        <w:pStyle w:val="Bulletedtext"/>
        <w:numPr>
          <w:ilvl w:val="0"/>
          <w:numId w:val="0"/>
        </w:numPr>
        <w:ind w:left="590" w:hanging="230"/>
        <w:rPr>
          <w:rFonts w:cs="Times New Roman"/>
        </w:rPr>
      </w:pPr>
      <w:r w:rsidRPr="00780FD9">
        <w:rPr>
          <w:noProof/>
          <w:lang w:eastAsia="fr-FR" w:bidi="ar-SA"/>
        </w:rPr>
        <w:drawing>
          <wp:anchor distT="0" distB="0" distL="0" distR="0" simplePos="0" relativeHeight="251661312" behindDoc="1" locked="0" layoutInCell="1" allowOverlap="1" wp14:anchorId="0B999F20" wp14:editId="1F7A4420">
            <wp:simplePos x="0" y="0"/>
            <wp:positionH relativeFrom="column">
              <wp:posOffset>29845</wp:posOffset>
            </wp:positionH>
            <wp:positionV relativeFrom="paragraph">
              <wp:posOffset>184785</wp:posOffset>
            </wp:positionV>
            <wp:extent cx="6805295" cy="333057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295" cy="333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418" w:type="dxa"/>
        <w:tblLayout w:type="fixed"/>
        <w:tblCellMar>
          <w:top w:w="864" w:type="dxa"/>
          <w:left w:w="418" w:type="dxa"/>
          <w:bottom w:w="86" w:type="dxa"/>
          <w:right w:w="360" w:type="dxa"/>
        </w:tblCellMar>
        <w:tblLook w:val="0000" w:firstRow="0" w:lastRow="0" w:firstColumn="0" w:lastColumn="0" w:noHBand="0" w:noVBand="0"/>
      </w:tblPr>
      <w:tblGrid>
        <w:gridCol w:w="10254"/>
        <w:gridCol w:w="798"/>
      </w:tblGrid>
      <w:tr w:rsidR="003A0718" w:rsidRPr="00385FEF" w14:paraId="6B4E700F" w14:textId="77777777" w:rsidTr="002060D7">
        <w:tc>
          <w:tcPr>
            <w:tcW w:w="10254" w:type="dxa"/>
          </w:tcPr>
          <w:p w14:paraId="03611E18" w14:textId="77777777" w:rsidR="003A0718" w:rsidRPr="00385FEF" w:rsidRDefault="003A0718" w:rsidP="002060D7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</w:tc>
        <w:tc>
          <w:tcPr>
            <w:tcW w:w="553" w:type="dxa"/>
          </w:tcPr>
          <w:p w14:paraId="3FCC3D22" w14:textId="77777777" w:rsidR="003A0718" w:rsidRPr="00385FEF" w:rsidRDefault="003A0718" w:rsidP="002060D7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195226F5" w14:textId="77777777" w:rsidR="003A0718" w:rsidRPr="00385FEF" w:rsidRDefault="003A0718" w:rsidP="002060D7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7FAD442A" w14:textId="77777777" w:rsidR="003A0718" w:rsidRPr="00385FEF" w:rsidRDefault="003A0718" w:rsidP="002060D7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51D042E" w14:textId="77777777" w:rsidR="003A0718" w:rsidRPr="00385FEF" w:rsidRDefault="003A0718" w:rsidP="002060D7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5363B8B" w14:textId="77777777" w:rsidR="003A0718" w:rsidRPr="00385FEF" w:rsidRDefault="003A0718" w:rsidP="002060D7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7C970D5F" w14:textId="77777777" w:rsidR="003A0718" w:rsidRPr="00385FEF" w:rsidRDefault="003A0718" w:rsidP="002060D7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49E8F976" w14:textId="77777777" w:rsidR="003A0718" w:rsidRPr="00385FEF" w:rsidRDefault="003A0718" w:rsidP="002060D7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09B6F8C4" w14:textId="77777777" w:rsidR="003A0718" w:rsidRPr="00385FEF" w:rsidRDefault="003A0718" w:rsidP="002060D7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4B7222F6" w14:textId="77777777" w:rsidR="003A0718" w:rsidRPr="00385FEF" w:rsidRDefault="003A0718" w:rsidP="002060D7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74B41433" w14:textId="77777777" w:rsidR="003A0718" w:rsidRPr="00385FEF" w:rsidRDefault="003A0718" w:rsidP="002060D7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B77EAC1" w14:textId="77777777" w:rsidR="003A0718" w:rsidRPr="00385FEF" w:rsidRDefault="003A0718" w:rsidP="002060D7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0275BC44" w14:textId="77777777" w:rsidR="003A0718" w:rsidRPr="00385FEF" w:rsidRDefault="003A0718" w:rsidP="002060D7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79C4417C" w14:textId="77777777" w:rsidR="003A0718" w:rsidRPr="00385FEF" w:rsidRDefault="003A0718" w:rsidP="002060D7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79112882" w14:textId="77777777" w:rsidR="003A0718" w:rsidRPr="00385FEF" w:rsidRDefault="003A0718" w:rsidP="002060D7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224BFABD" w14:textId="77777777" w:rsidR="003A0718" w:rsidRPr="00385FEF" w:rsidRDefault="003A0718" w:rsidP="002060D7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57DEF3B5" w14:textId="77777777" w:rsidR="003A0718" w:rsidRPr="00385FEF" w:rsidRDefault="003A0718" w:rsidP="002060D7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1F3858CC" w14:textId="77777777" w:rsidR="003A0718" w:rsidRPr="00385FEF" w:rsidRDefault="003A0718" w:rsidP="002060D7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4FB34F1E" w14:textId="77777777" w:rsidR="003A0718" w:rsidRPr="00385FEF" w:rsidRDefault="003A0718" w:rsidP="002060D7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2CEF16E7" w14:textId="77777777" w:rsidR="003A0718" w:rsidRPr="00385FEF" w:rsidRDefault="003A0718" w:rsidP="002060D7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</w:tc>
      </w:tr>
    </w:tbl>
    <w:p w14:paraId="3B2DEEFA" w14:textId="77777777" w:rsidR="003A0718" w:rsidRPr="00385FEF" w:rsidRDefault="003A0718" w:rsidP="003A0718">
      <w:pPr>
        <w:pStyle w:val="Bulletedtext"/>
        <w:numPr>
          <w:ilvl w:val="0"/>
          <w:numId w:val="0"/>
        </w:numPr>
        <w:rPr>
          <w:rFonts w:cs="Times New Roman"/>
        </w:rPr>
      </w:pPr>
    </w:p>
    <w:p w14:paraId="6C35CCA7" w14:textId="062EE299" w:rsidR="003A0718" w:rsidRPr="00385FEF" w:rsidRDefault="003A0718" w:rsidP="003A0718">
      <w:pPr>
        <w:pStyle w:val="Bulletedtext"/>
        <w:numPr>
          <w:ilvl w:val="0"/>
          <w:numId w:val="0"/>
        </w:numPr>
        <w:tabs>
          <w:tab w:val="left" w:pos="720"/>
        </w:tabs>
        <w:rPr>
          <w:rFonts w:ascii="Arial" w:eastAsia="Monaco" w:hAnsi="Arial" w:cs="Monaco"/>
          <w:color w:val="auto"/>
          <w:sz w:val="16"/>
          <w:szCs w:val="16"/>
        </w:rPr>
      </w:pPr>
      <w:r w:rsidRPr="00385FEF">
        <w:rPr>
          <w:rFonts w:ascii="Arial" w:eastAsia="Monaco" w:hAnsi="Arial" w:cs="Monaco"/>
          <w:i/>
          <w:iCs/>
          <w:color w:val="auto"/>
          <w:sz w:val="16"/>
          <w:szCs w:val="16"/>
        </w:rPr>
        <w:t>Blackwell's Five-Minute Veterinary Consult: Equine, Third Edition,</w:t>
      </w:r>
      <w:r w:rsidRPr="00385FEF">
        <w:rPr>
          <w:rFonts w:ascii="Arial" w:eastAsia="Monaco" w:hAnsi="Arial" w:cs="Monaco"/>
          <w:color w:val="auto"/>
          <w:sz w:val="16"/>
          <w:szCs w:val="16"/>
        </w:rPr>
        <w:t xml:space="preserve"> Jean-Pierre Lavoie © 20</w:t>
      </w:r>
      <w:r w:rsidR="00560854">
        <w:rPr>
          <w:rFonts w:ascii="Arial" w:eastAsia="Monaco" w:hAnsi="Arial" w:cs="Monaco"/>
          <w:color w:val="auto"/>
          <w:sz w:val="16"/>
          <w:szCs w:val="16"/>
        </w:rPr>
        <w:t>20</w:t>
      </w:r>
      <w:r w:rsidRPr="00385FEF">
        <w:rPr>
          <w:rFonts w:ascii="Arial" w:eastAsia="Monaco" w:hAnsi="Arial" w:cs="Monaco"/>
          <w:color w:val="auto"/>
          <w:sz w:val="16"/>
          <w:szCs w:val="16"/>
        </w:rPr>
        <w:t xml:space="preserve"> </w:t>
      </w:r>
      <w:r w:rsidRPr="00385FEF">
        <w:rPr>
          <w:rFonts w:ascii="Arial" w:eastAsia="Monaco" w:hAnsi="Arial" w:cs="Monaco"/>
          <w:iCs/>
          <w:sz w:val="16"/>
          <w:szCs w:val="16"/>
        </w:rPr>
        <w:t>John Wiley &amp; Sons, Inc.</w:t>
      </w:r>
    </w:p>
    <w:p w14:paraId="66F908B8" w14:textId="77777777" w:rsidR="003A0718" w:rsidRPr="00385FEF" w:rsidRDefault="003A0718" w:rsidP="003A0718">
      <w:bookmarkStart w:id="0" w:name="_GoBack"/>
      <w:bookmarkEnd w:id="0"/>
    </w:p>
    <w:sectPr w:rsidR="003A0718" w:rsidRPr="00385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Yu Gothic"/>
    <w:charset w:val="80"/>
    <w:family w:val="swiss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Hiragino Mincho ProN W3"/>
    <w:charset w:val="80"/>
    <w:family w:val="roman"/>
    <w:pitch w:val="default"/>
    <w:sig w:usb0="00000003" w:usb1="08070000" w:usb2="00000010" w:usb3="00000000" w:csb0="0002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aco">
    <w:altName w:val="Arial Unicode MS"/>
    <w:charset w:val="4D"/>
    <w:family w:val="auto"/>
    <w:pitch w:val="variable"/>
    <w:sig w:usb0="A00002FF" w:usb1="500039F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List 1"/>
    <w:lvl w:ilvl="0">
      <w:start w:val="1"/>
      <w:numFmt w:val="bullet"/>
      <w:pStyle w:val="Bulletedtext"/>
      <w:lvlText w:val="•"/>
      <w:lvlJc w:val="left"/>
      <w:pPr>
        <w:tabs>
          <w:tab w:val="num" w:pos="590"/>
        </w:tabs>
        <w:ind w:left="590" w:hanging="158"/>
      </w:pPr>
      <w:rPr>
        <w:rFonts w:ascii="Verdana" w:hAnsi="Verdana" w:cs="Verdana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ArialM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ArialM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ArialM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ArialM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ArialM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ArialM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ArialM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ArialMT"/>
      </w:rPr>
    </w:lvl>
  </w:abstractNum>
  <w:abstractNum w:abstractNumId="1" w15:restartNumberingAfterBreak="0">
    <w:nsid w:val="04C94396"/>
    <w:multiLevelType w:val="hybridMultilevel"/>
    <w:tmpl w:val="04384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64CC8"/>
    <w:multiLevelType w:val="hybridMultilevel"/>
    <w:tmpl w:val="9BEEA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57B20"/>
    <w:multiLevelType w:val="hybridMultilevel"/>
    <w:tmpl w:val="9D98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5307B"/>
    <w:multiLevelType w:val="hybridMultilevel"/>
    <w:tmpl w:val="460CB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52F96"/>
    <w:multiLevelType w:val="hybridMultilevel"/>
    <w:tmpl w:val="AEA6C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61258"/>
    <w:multiLevelType w:val="hybridMultilevel"/>
    <w:tmpl w:val="E2569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966AE"/>
    <w:multiLevelType w:val="hybridMultilevel"/>
    <w:tmpl w:val="F4FE3738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9FF"/>
    <w:rsid w:val="00006678"/>
    <w:rsid w:val="00053E31"/>
    <w:rsid w:val="0007667F"/>
    <w:rsid w:val="000B25B8"/>
    <w:rsid w:val="000D7573"/>
    <w:rsid w:val="000E1F24"/>
    <w:rsid w:val="00141CC3"/>
    <w:rsid w:val="00170FA4"/>
    <w:rsid w:val="00247664"/>
    <w:rsid w:val="00316290"/>
    <w:rsid w:val="0034343F"/>
    <w:rsid w:val="00351B76"/>
    <w:rsid w:val="0038544F"/>
    <w:rsid w:val="00385FEF"/>
    <w:rsid w:val="003A0718"/>
    <w:rsid w:val="004D0D0B"/>
    <w:rsid w:val="005236E1"/>
    <w:rsid w:val="0052721C"/>
    <w:rsid w:val="00560854"/>
    <w:rsid w:val="005A782F"/>
    <w:rsid w:val="006769FF"/>
    <w:rsid w:val="00757DE9"/>
    <w:rsid w:val="00780FD9"/>
    <w:rsid w:val="007B5979"/>
    <w:rsid w:val="007E5AF5"/>
    <w:rsid w:val="008F5D20"/>
    <w:rsid w:val="00A22CE2"/>
    <w:rsid w:val="00A63E21"/>
    <w:rsid w:val="00AF0312"/>
    <w:rsid w:val="00B81E0E"/>
    <w:rsid w:val="00BC1CAE"/>
    <w:rsid w:val="00C4569B"/>
    <w:rsid w:val="00CB6A42"/>
    <w:rsid w:val="00D70C9D"/>
    <w:rsid w:val="00DE7130"/>
    <w:rsid w:val="00E416F8"/>
    <w:rsid w:val="00E95F9A"/>
    <w:rsid w:val="00F106D3"/>
    <w:rsid w:val="00F2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AF4B96"/>
  <w15:docId w15:val="{84E00C96-62AD-46F5-968D-5B48E71E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6D3"/>
    <w:pPr>
      <w:ind w:left="720"/>
      <w:contextualSpacing/>
    </w:pPr>
  </w:style>
  <w:style w:type="paragraph" w:customStyle="1" w:styleId="Contactinfo">
    <w:name w:val="Contact info"/>
    <w:basedOn w:val="Normal"/>
    <w:rsid w:val="003A0718"/>
    <w:pPr>
      <w:widowControl w:val="0"/>
      <w:suppressAutoHyphens/>
      <w:autoSpaceDE w:val="0"/>
      <w:spacing w:after="0" w:line="319" w:lineRule="auto"/>
      <w:textAlignment w:val="center"/>
    </w:pPr>
    <w:rPr>
      <w:rFonts w:ascii="Arial" w:eastAsia="Times-Roman" w:hAnsi="Arial" w:cs="Arial"/>
      <w:color w:val="000000"/>
      <w:kern w:val="1"/>
      <w:sz w:val="18"/>
      <w:szCs w:val="18"/>
      <w:lang w:eastAsia="hi-IN" w:bidi="hi-IN"/>
    </w:rPr>
  </w:style>
  <w:style w:type="paragraph" w:customStyle="1" w:styleId="Bulletedtext">
    <w:name w:val="Bulleted text"/>
    <w:basedOn w:val="Normal"/>
    <w:rsid w:val="003A0718"/>
    <w:pPr>
      <w:widowControl w:val="0"/>
      <w:numPr>
        <w:numId w:val="8"/>
      </w:numPr>
      <w:suppressAutoHyphens/>
      <w:autoSpaceDE w:val="0"/>
      <w:spacing w:after="0" w:line="288" w:lineRule="auto"/>
      <w:ind w:right="288"/>
      <w:textAlignment w:val="center"/>
    </w:pPr>
    <w:rPr>
      <w:rFonts w:ascii="Georgia" w:eastAsia="Times-Roman" w:hAnsi="Georgia" w:cs="Georgia"/>
      <w:color w:val="000000"/>
      <w:kern w:val="1"/>
      <w:sz w:val="20"/>
      <w:szCs w:val="20"/>
      <w:lang w:eastAsia="hi-IN" w:bidi="hi-IN"/>
    </w:rPr>
  </w:style>
  <w:style w:type="paragraph" w:customStyle="1" w:styleId="TableContents">
    <w:name w:val="Table Contents"/>
    <w:basedOn w:val="Normal"/>
    <w:rsid w:val="003A071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Notes">
    <w:name w:val="Notes"/>
    <w:basedOn w:val="TableContents"/>
    <w:rsid w:val="003A0718"/>
    <w:pPr>
      <w:ind w:left="58"/>
    </w:pPr>
    <w:rPr>
      <w:rFonts w:ascii="Georgia" w:eastAsia="Times-Roman" w:hAnsi="Georgia" w:cs="Georg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16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2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2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2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Wiley and Sons, Inc.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Judisch, Erica - Ames</dc:creator>
  <cp:lastModifiedBy>Mirjana Misina</cp:lastModifiedBy>
  <cp:revision>3</cp:revision>
  <dcterms:created xsi:type="dcterms:W3CDTF">2019-01-30T12:35:00Z</dcterms:created>
  <dcterms:modified xsi:type="dcterms:W3CDTF">2019-08-12T12:15:00Z</dcterms:modified>
</cp:coreProperties>
</file>