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EEEAD" w14:textId="5D844144" w:rsidR="00CD504C" w:rsidRPr="00D40354" w:rsidRDefault="00CD504C" w:rsidP="00AE30C2">
      <w:pPr>
        <w:spacing w:after="0" w:line="240" w:lineRule="auto"/>
        <w:jc w:val="center"/>
        <w:outlineLvl w:val="0"/>
        <w:rPr>
          <w:b/>
        </w:rPr>
      </w:pPr>
      <w:r w:rsidRPr="0030648F">
        <w:rPr>
          <w:b/>
          <w:noProof/>
        </w:rPr>
        <w:drawing>
          <wp:anchor distT="0" distB="0" distL="0" distR="0" simplePos="0" relativeHeight="251661312" behindDoc="0" locked="0" layoutInCell="1" allowOverlap="1" wp14:anchorId="772695CA" wp14:editId="1E4D61F1">
            <wp:simplePos x="0" y="0"/>
            <wp:positionH relativeFrom="page">
              <wp:posOffset>6493955</wp:posOffset>
            </wp:positionH>
            <wp:positionV relativeFrom="page">
              <wp:posOffset>727091</wp:posOffset>
            </wp:positionV>
            <wp:extent cx="756285" cy="756285"/>
            <wp:effectExtent l="0" t="0" r="571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354">
        <w:rPr>
          <w:b/>
        </w:rPr>
        <w:t>CLIENT EDUCATION HANDOUT</w:t>
      </w:r>
    </w:p>
    <w:p w14:paraId="11A7210B" w14:textId="77777777" w:rsidR="00CD504C" w:rsidRPr="00D40354" w:rsidRDefault="00CD504C" w:rsidP="00CD504C">
      <w:pPr>
        <w:spacing w:after="0" w:line="240" w:lineRule="auto"/>
        <w:jc w:val="center"/>
        <w:rPr>
          <w:b/>
        </w:rPr>
      </w:pPr>
    </w:p>
    <w:p w14:paraId="53AB4D54" w14:textId="77777777" w:rsidR="00CD504C" w:rsidRPr="00D40354" w:rsidRDefault="00CD504C" w:rsidP="00AE30C2">
      <w:pPr>
        <w:pStyle w:val="Contactinfo"/>
        <w:outlineLvl w:val="0"/>
        <w:rPr>
          <w:b/>
        </w:rPr>
      </w:pPr>
      <w:r w:rsidRPr="00D40354">
        <w:rPr>
          <w:b/>
        </w:rPr>
        <w:t>Customer Name, Street Address, City, State, Zip code</w:t>
      </w:r>
    </w:p>
    <w:p w14:paraId="6DC28167" w14:textId="77777777" w:rsidR="00AF0312" w:rsidRPr="00D40354" w:rsidRDefault="00CD504C" w:rsidP="00AE30C2">
      <w:pPr>
        <w:spacing w:after="0" w:line="240" w:lineRule="auto"/>
        <w:outlineLvl w:val="0"/>
        <w:rPr>
          <w:rFonts w:ascii="Calibri" w:hAnsi="Calibri"/>
          <w:u w:val="single"/>
        </w:rPr>
      </w:pPr>
      <w:r w:rsidRPr="00D40354">
        <w:rPr>
          <w:b/>
        </w:rPr>
        <w:t>Phone number, Alt. phone number, Fax number, e-mail address, web site</w:t>
      </w:r>
      <w:r w:rsidRPr="00D40354">
        <w:rPr>
          <w:b/>
        </w:rPr>
        <w:tab/>
      </w:r>
      <w:r w:rsidRPr="00D40354">
        <w:rPr>
          <w:b/>
        </w:rPr>
        <w:tab/>
      </w:r>
    </w:p>
    <w:p w14:paraId="59EB5037" w14:textId="77777777" w:rsidR="00CD504C" w:rsidRPr="00D40354" w:rsidRDefault="00CD504C" w:rsidP="006769FF">
      <w:pPr>
        <w:spacing w:after="0" w:line="240" w:lineRule="auto"/>
        <w:rPr>
          <w:rFonts w:ascii="Calibri" w:hAnsi="Calibri"/>
          <w:u w:val="single"/>
        </w:rPr>
      </w:pPr>
    </w:p>
    <w:p w14:paraId="19FCD357" w14:textId="45A8A9C0" w:rsidR="00AF0312" w:rsidRDefault="0031199D" w:rsidP="00AE30C2">
      <w:pPr>
        <w:spacing w:after="0" w:line="240" w:lineRule="auto"/>
        <w:outlineLvl w:val="0"/>
        <w:rPr>
          <w:rFonts w:ascii="Calibri" w:hAnsi="Calibri"/>
          <w:b/>
          <w:bCs/>
          <w:sz w:val="36"/>
          <w:szCs w:val="36"/>
        </w:rPr>
      </w:pPr>
      <w:r w:rsidRPr="007B18E0">
        <w:rPr>
          <w:rFonts w:ascii="Calibri" w:hAnsi="Calibri"/>
          <w:b/>
          <w:bCs/>
          <w:sz w:val="36"/>
          <w:szCs w:val="36"/>
        </w:rPr>
        <w:t>Tetanus</w:t>
      </w:r>
    </w:p>
    <w:p w14:paraId="7284F680" w14:textId="77777777" w:rsidR="007B18E0" w:rsidRPr="007B18E0" w:rsidRDefault="007B18E0" w:rsidP="00AE30C2">
      <w:pPr>
        <w:spacing w:after="0" w:line="240" w:lineRule="auto"/>
        <w:outlineLvl w:val="0"/>
        <w:rPr>
          <w:rFonts w:ascii="Calibri" w:hAnsi="Calibri"/>
          <w:b/>
          <w:bCs/>
          <w:sz w:val="36"/>
          <w:szCs w:val="36"/>
        </w:rPr>
      </w:pPr>
    </w:p>
    <w:p w14:paraId="4216876C" w14:textId="28975942" w:rsidR="006769FF" w:rsidRPr="007B18E0" w:rsidRDefault="006769FF" w:rsidP="00AE30C2">
      <w:pPr>
        <w:spacing w:after="0" w:line="240" w:lineRule="auto"/>
        <w:outlineLvl w:val="0"/>
        <w:rPr>
          <w:rFonts w:ascii="Calibri" w:hAnsi="Calibri"/>
          <w:b/>
          <w:bCs/>
          <w:sz w:val="28"/>
          <w:szCs w:val="28"/>
        </w:rPr>
      </w:pPr>
      <w:r w:rsidRPr="007B18E0">
        <w:rPr>
          <w:rFonts w:ascii="Calibri" w:hAnsi="Calibri"/>
          <w:b/>
          <w:bCs/>
          <w:sz w:val="28"/>
          <w:szCs w:val="28"/>
        </w:rPr>
        <w:t>Basics</w:t>
      </w:r>
    </w:p>
    <w:p w14:paraId="00F3FE19" w14:textId="2F06C690" w:rsidR="006769FF" w:rsidRPr="00D40354" w:rsidRDefault="006769FF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D40354">
        <w:rPr>
          <w:rFonts w:ascii="Calibri" w:hAnsi="Calibri"/>
          <w:b/>
        </w:rPr>
        <w:t>Overview</w:t>
      </w:r>
    </w:p>
    <w:p w14:paraId="2B67B410" w14:textId="77777777" w:rsidR="006769FF" w:rsidRPr="00D40354" w:rsidRDefault="0031199D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Tetanus is a disease characterized by stiffness and spasm of the muscles</w:t>
      </w:r>
    </w:p>
    <w:p w14:paraId="44739F62" w14:textId="7BAB4922" w:rsidR="0031199D" w:rsidRPr="00D40354" w:rsidRDefault="0031199D" w:rsidP="006769FF">
      <w:pPr>
        <w:spacing w:after="0" w:line="240" w:lineRule="auto"/>
        <w:rPr>
          <w:rFonts w:ascii="Calibri" w:hAnsi="Calibri"/>
          <w:iCs/>
        </w:rPr>
      </w:pPr>
      <w:r w:rsidRPr="00D40354">
        <w:rPr>
          <w:rFonts w:ascii="Calibri" w:hAnsi="Calibri"/>
        </w:rPr>
        <w:t xml:space="preserve">• Tetanus is caused by </w:t>
      </w:r>
      <w:r w:rsidR="00A87A77" w:rsidRPr="00D40354">
        <w:rPr>
          <w:rFonts w:ascii="Calibri" w:hAnsi="Calibri"/>
        </w:rPr>
        <w:t xml:space="preserve">toxins that are produced by a specific </w:t>
      </w:r>
      <w:r w:rsidRPr="00D40354">
        <w:rPr>
          <w:rFonts w:ascii="Calibri" w:hAnsi="Calibri"/>
        </w:rPr>
        <w:t>bacteri</w:t>
      </w:r>
      <w:r w:rsidR="0049305D" w:rsidRPr="00D40354">
        <w:rPr>
          <w:rFonts w:ascii="Calibri" w:hAnsi="Calibri"/>
        </w:rPr>
        <w:t>um</w:t>
      </w:r>
      <w:r w:rsidRPr="00D40354">
        <w:rPr>
          <w:rFonts w:ascii="Calibri" w:hAnsi="Calibri"/>
        </w:rPr>
        <w:t xml:space="preserve"> </w:t>
      </w:r>
      <w:r w:rsidR="00A87A77" w:rsidRPr="00D40354">
        <w:rPr>
          <w:rFonts w:ascii="Calibri" w:hAnsi="Calibri"/>
        </w:rPr>
        <w:t>(</w:t>
      </w:r>
      <w:r w:rsidRPr="00D40354">
        <w:rPr>
          <w:rFonts w:ascii="Calibri" w:hAnsi="Calibri"/>
          <w:i/>
          <w:iCs/>
        </w:rPr>
        <w:t>Clostridium tetani</w:t>
      </w:r>
      <w:r w:rsidR="00A87A77" w:rsidRPr="0030648F">
        <w:rPr>
          <w:rFonts w:ascii="Calibri" w:hAnsi="Calibri"/>
        </w:rPr>
        <w:t>)</w:t>
      </w:r>
      <w:r w:rsidRPr="0030648F">
        <w:rPr>
          <w:rFonts w:ascii="Calibri" w:hAnsi="Calibri"/>
        </w:rPr>
        <w:t xml:space="preserve">, </w:t>
      </w:r>
      <w:r w:rsidRPr="00D40354">
        <w:rPr>
          <w:rFonts w:ascii="Calibri" w:hAnsi="Calibri"/>
          <w:iCs/>
        </w:rPr>
        <w:t>which is widespread in the environment</w:t>
      </w:r>
    </w:p>
    <w:p w14:paraId="22B64237" w14:textId="27862CD0" w:rsidR="00A87A77" w:rsidRPr="00D40354" w:rsidRDefault="0031199D" w:rsidP="006769FF">
      <w:pPr>
        <w:spacing w:after="0" w:line="240" w:lineRule="auto"/>
        <w:rPr>
          <w:rFonts w:ascii="Calibri" w:hAnsi="Calibri"/>
          <w:iCs/>
        </w:rPr>
      </w:pPr>
      <w:r w:rsidRPr="00D40354">
        <w:rPr>
          <w:rFonts w:ascii="Calibri" w:hAnsi="Calibri"/>
        </w:rPr>
        <w:t xml:space="preserve">• </w:t>
      </w:r>
      <w:r w:rsidRPr="00D40354">
        <w:rPr>
          <w:rFonts w:ascii="Calibri" w:hAnsi="Calibri"/>
          <w:iCs/>
        </w:rPr>
        <w:t>The disease occurs 1</w:t>
      </w:r>
      <w:r w:rsidR="0049305D" w:rsidRPr="00D40354">
        <w:rPr>
          <w:rFonts w:ascii="Calibri" w:hAnsi="Calibri"/>
          <w:iCs/>
        </w:rPr>
        <w:t>–</w:t>
      </w:r>
      <w:r w:rsidRPr="00D40354">
        <w:rPr>
          <w:rFonts w:ascii="Calibri" w:hAnsi="Calibri"/>
          <w:iCs/>
        </w:rPr>
        <w:t>3</w:t>
      </w:r>
      <w:r w:rsidR="00A87A77" w:rsidRPr="00D40354">
        <w:rPr>
          <w:rFonts w:ascii="Calibri" w:hAnsi="Calibri"/>
          <w:iCs/>
        </w:rPr>
        <w:t xml:space="preserve"> weeks</w:t>
      </w:r>
      <w:r w:rsidRPr="00D40354">
        <w:rPr>
          <w:rFonts w:ascii="Calibri" w:hAnsi="Calibri"/>
          <w:iCs/>
        </w:rPr>
        <w:t xml:space="preserve"> after the </w:t>
      </w:r>
      <w:r w:rsidRPr="00D40354">
        <w:rPr>
          <w:rFonts w:ascii="Calibri" w:hAnsi="Calibri"/>
        </w:rPr>
        <w:t xml:space="preserve">spores of </w:t>
      </w:r>
      <w:r w:rsidRPr="00D40354">
        <w:rPr>
          <w:rFonts w:ascii="Calibri" w:hAnsi="Calibri"/>
          <w:i/>
          <w:iCs/>
        </w:rPr>
        <w:t xml:space="preserve">Clostridium tetani </w:t>
      </w:r>
      <w:r w:rsidRPr="00D40354">
        <w:rPr>
          <w:rFonts w:ascii="Calibri" w:hAnsi="Calibri"/>
          <w:iCs/>
        </w:rPr>
        <w:t>gain access to the wound</w:t>
      </w:r>
    </w:p>
    <w:p w14:paraId="4516FE6A" w14:textId="6171EAEC" w:rsidR="00A87A77" w:rsidRPr="00D40354" w:rsidRDefault="00A87A77" w:rsidP="006769FF">
      <w:pPr>
        <w:spacing w:after="0" w:line="240" w:lineRule="auto"/>
        <w:rPr>
          <w:rFonts w:ascii="Calibri" w:hAnsi="Calibri"/>
          <w:iCs/>
        </w:rPr>
      </w:pPr>
      <w:r w:rsidRPr="00D40354">
        <w:rPr>
          <w:rFonts w:ascii="Calibri" w:hAnsi="Calibri"/>
        </w:rPr>
        <w:t>• The toxin, once absorbed, continues to exert effects for some weeks</w:t>
      </w:r>
      <w:r w:rsidR="0049305D" w:rsidRPr="00D40354">
        <w:rPr>
          <w:rFonts w:ascii="Calibri" w:hAnsi="Calibri"/>
        </w:rPr>
        <w:t>,</w:t>
      </w:r>
      <w:r w:rsidRPr="00D40354">
        <w:rPr>
          <w:rFonts w:ascii="Calibri" w:hAnsi="Calibri"/>
        </w:rPr>
        <w:t xml:space="preserve"> even after the infection is eliminated</w:t>
      </w:r>
    </w:p>
    <w:p w14:paraId="705F634B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718A7312" w14:textId="2B8D8CCD" w:rsidR="006769FF" w:rsidRPr="00D40354" w:rsidRDefault="006769FF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D40354">
        <w:rPr>
          <w:rFonts w:ascii="Calibri" w:hAnsi="Calibri"/>
          <w:b/>
        </w:rPr>
        <w:t>Signalment</w:t>
      </w:r>
    </w:p>
    <w:p w14:paraId="676D802F" w14:textId="3C991A50" w:rsidR="006769FF" w:rsidRPr="00D40354" w:rsidRDefault="0031199D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All ages, breeds</w:t>
      </w:r>
      <w:r w:rsidR="0049305D" w:rsidRPr="00D40354">
        <w:rPr>
          <w:rFonts w:ascii="Calibri" w:hAnsi="Calibri"/>
        </w:rPr>
        <w:t>,</w:t>
      </w:r>
      <w:r w:rsidRPr="00D40354">
        <w:rPr>
          <w:rFonts w:ascii="Calibri" w:hAnsi="Calibri"/>
        </w:rPr>
        <w:t xml:space="preserve"> and sexes are affected</w:t>
      </w:r>
    </w:p>
    <w:p w14:paraId="180C4EBA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7416DB85" w14:textId="35ABBA06" w:rsidR="006769FF" w:rsidRPr="00D40354" w:rsidRDefault="006769FF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D40354">
        <w:rPr>
          <w:rFonts w:ascii="Calibri" w:hAnsi="Calibri"/>
          <w:b/>
        </w:rPr>
        <w:t>Signs</w:t>
      </w:r>
    </w:p>
    <w:p w14:paraId="2BF067A4" w14:textId="77777777" w:rsidR="0031199D" w:rsidRPr="00D40354" w:rsidRDefault="0031199D" w:rsidP="0031199D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>• The first signs may be vague (local stiffness, lameness, colic) and the progression is variable</w:t>
      </w:r>
    </w:p>
    <w:p w14:paraId="40C4CED4" w14:textId="101A7D82" w:rsidR="0031199D" w:rsidRPr="00D40354" w:rsidRDefault="0031199D" w:rsidP="0031199D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>• Most horses exhibit a stiff/spastic gait, with trembling, a raised tailhead, flared nostrils, and erect ears</w:t>
      </w:r>
    </w:p>
    <w:p w14:paraId="593F6318" w14:textId="634D8CD6" w:rsidR="0031199D" w:rsidRPr="00D40354" w:rsidRDefault="0031199D" w:rsidP="0031199D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>• Stiffness of back muscles results in the characteristic “sawhorse stance”</w:t>
      </w:r>
    </w:p>
    <w:p w14:paraId="6FC985E1" w14:textId="4D85F5A3" w:rsidR="0031199D" w:rsidRPr="00D40354" w:rsidRDefault="0031199D" w:rsidP="0031199D">
      <w:pPr>
        <w:widowControl w:val="0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>• Protrusion of the third eyelids occur</w:t>
      </w:r>
      <w:r w:rsidR="0049305D" w:rsidRPr="00D40354">
        <w:rPr>
          <w:rFonts w:ascii="Calibri" w:hAnsi="Calibri"/>
        </w:rPr>
        <w:t>s</w:t>
      </w:r>
      <w:r w:rsidRPr="00D40354">
        <w:rPr>
          <w:rFonts w:ascii="Calibri" w:hAnsi="Calibri"/>
        </w:rPr>
        <w:t xml:space="preserve"> following a noise or stimulation</w:t>
      </w:r>
    </w:p>
    <w:p w14:paraId="2121F3BD" w14:textId="3120D8D1" w:rsidR="0031199D" w:rsidRPr="00D40354" w:rsidRDefault="0031199D" w:rsidP="0031199D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>• Inability to open the mouth (“lockjaw”)</w:t>
      </w:r>
    </w:p>
    <w:p w14:paraId="2E905BD3" w14:textId="77777777" w:rsidR="0031199D" w:rsidRPr="00D40354" w:rsidRDefault="0031199D" w:rsidP="0031199D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>• Inability to swallow results in feed and saliva accumulating in the mouth and dropping out</w:t>
      </w:r>
    </w:p>
    <w:p w14:paraId="731F7009" w14:textId="542A930E" w:rsidR="0031199D" w:rsidRPr="00D40354" w:rsidRDefault="0031199D" w:rsidP="0031199D">
      <w:pPr>
        <w:widowControl w:val="0"/>
        <w:tabs>
          <w:tab w:val="left" w:pos="14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>• All signs are exacerbated by stimulation and excitement</w:t>
      </w:r>
    </w:p>
    <w:p w14:paraId="181A06ED" w14:textId="005864B8" w:rsidR="006769FF" w:rsidRPr="00D40354" w:rsidRDefault="0031199D" w:rsidP="00046AC1">
      <w:pPr>
        <w:widowControl w:val="0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 xml:space="preserve">• </w:t>
      </w:r>
      <w:r w:rsidR="00046AC1" w:rsidRPr="00D40354">
        <w:rPr>
          <w:rFonts w:ascii="Calibri" w:hAnsi="Calibri"/>
        </w:rPr>
        <w:t>I</w:t>
      </w:r>
      <w:r w:rsidRPr="00D40354">
        <w:rPr>
          <w:rFonts w:ascii="Calibri" w:hAnsi="Calibri"/>
        </w:rPr>
        <w:t>nability to rise occurs as the disease progresses</w:t>
      </w:r>
    </w:p>
    <w:p w14:paraId="78B313EF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44342177" w14:textId="3FD20FC0" w:rsidR="006769FF" w:rsidRPr="00D40354" w:rsidRDefault="000B25B8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D40354">
        <w:rPr>
          <w:rFonts w:ascii="Calibri" w:hAnsi="Calibri"/>
          <w:b/>
        </w:rPr>
        <w:t>Causes</w:t>
      </w:r>
    </w:p>
    <w:p w14:paraId="1EF4B5F6" w14:textId="1D65207E" w:rsidR="000B25B8" w:rsidRPr="00D40354" w:rsidRDefault="0049305D" w:rsidP="0030648F">
      <w:pPr>
        <w:widowControl w:val="0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D40354">
        <w:rPr>
          <w:rFonts w:ascii="Calibri" w:hAnsi="Calibri"/>
        </w:rPr>
        <w:t xml:space="preserve">• </w:t>
      </w:r>
      <w:r w:rsidR="00A92EC9" w:rsidRPr="00D40354">
        <w:rPr>
          <w:rFonts w:ascii="Calibri" w:hAnsi="Calibri"/>
        </w:rPr>
        <w:t>Infection of a wound with the bacteri</w:t>
      </w:r>
      <w:r w:rsidRPr="00D40354">
        <w:rPr>
          <w:rFonts w:ascii="Calibri" w:hAnsi="Calibri"/>
        </w:rPr>
        <w:t>um</w:t>
      </w:r>
      <w:r w:rsidR="00A92EC9" w:rsidRPr="00D40354">
        <w:rPr>
          <w:rFonts w:ascii="Calibri" w:hAnsi="Calibri"/>
        </w:rPr>
        <w:t xml:space="preserve"> </w:t>
      </w:r>
      <w:r w:rsidR="00A92EC9" w:rsidRPr="00D40354">
        <w:rPr>
          <w:rFonts w:ascii="Calibri" w:hAnsi="Calibri"/>
          <w:i/>
          <w:iCs/>
        </w:rPr>
        <w:t>Clostridium tetani</w:t>
      </w:r>
    </w:p>
    <w:p w14:paraId="18530BC6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5EB58A93" w14:textId="2D9DC31D" w:rsidR="000B25B8" w:rsidRPr="0030648F" w:rsidRDefault="000B25B8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30648F">
        <w:rPr>
          <w:rFonts w:ascii="Calibri" w:hAnsi="Calibri"/>
          <w:b/>
        </w:rPr>
        <w:t>Risk Factors</w:t>
      </w:r>
    </w:p>
    <w:p w14:paraId="759202B7" w14:textId="3028E683" w:rsidR="00A92EC9" w:rsidRPr="00D40354" w:rsidRDefault="0049305D" w:rsidP="00AE30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/>
        </w:rPr>
      </w:pPr>
      <w:r w:rsidRPr="00D40354">
        <w:rPr>
          <w:rFonts w:ascii="Calibri" w:hAnsi="Calibri"/>
        </w:rPr>
        <w:t xml:space="preserve">• </w:t>
      </w:r>
      <w:r w:rsidR="00A92EC9" w:rsidRPr="00D40354">
        <w:rPr>
          <w:rFonts w:ascii="Calibri" w:hAnsi="Calibri"/>
        </w:rPr>
        <w:t>Unvaccinated horses with a soft tissue wound or penetrating wound to the foot are most at risk</w:t>
      </w:r>
    </w:p>
    <w:p w14:paraId="06162307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0F32F966" w14:textId="1F93D9C5" w:rsidR="006769FF" w:rsidRPr="007B18E0" w:rsidRDefault="000B25B8" w:rsidP="00AE30C2">
      <w:pPr>
        <w:spacing w:after="0" w:line="240" w:lineRule="auto"/>
        <w:outlineLvl w:val="0"/>
        <w:rPr>
          <w:rFonts w:ascii="Calibri" w:hAnsi="Calibri"/>
          <w:b/>
          <w:sz w:val="28"/>
          <w:szCs w:val="28"/>
        </w:rPr>
      </w:pPr>
      <w:r w:rsidRPr="007B18E0">
        <w:rPr>
          <w:rFonts w:ascii="Calibri" w:hAnsi="Calibri"/>
          <w:b/>
          <w:sz w:val="28"/>
          <w:szCs w:val="28"/>
        </w:rPr>
        <w:t>Treatment</w:t>
      </w:r>
    </w:p>
    <w:p w14:paraId="727A4C7E" w14:textId="14FF81E2" w:rsidR="006769FF" w:rsidRPr="0030648F" w:rsidRDefault="000B25B8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30648F">
        <w:rPr>
          <w:rFonts w:ascii="Calibri" w:hAnsi="Calibri"/>
          <w:b/>
        </w:rPr>
        <w:t>Appropriate Health Care</w:t>
      </w:r>
    </w:p>
    <w:p w14:paraId="58D56326" w14:textId="44786390" w:rsidR="0073452D" w:rsidRPr="00D40354" w:rsidRDefault="0073452D" w:rsidP="0073452D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Initial treatment with tetanus antitoxin</w:t>
      </w:r>
      <w:r w:rsidR="0049305D" w:rsidRPr="00D40354">
        <w:rPr>
          <w:rFonts w:ascii="Calibri" w:hAnsi="Calibri"/>
        </w:rPr>
        <w:t xml:space="preserve"> is</w:t>
      </w:r>
      <w:r w:rsidRPr="00D40354">
        <w:rPr>
          <w:rFonts w:ascii="Calibri" w:hAnsi="Calibri"/>
        </w:rPr>
        <w:t xml:space="preserve"> vital</w:t>
      </w:r>
    </w:p>
    <w:p w14:paraId="0D499FDF" w14:textId="7F3FA933" w:rsidR="0073452D" w:rsidRPr="00D40354" w:rsidRDefault="0073452D" w:rsidP="0073452D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Appropriate nursing care, particularly if the horse is unable to rise, is vital to maximize the chances of a successful outcome</w:t>
      </w:r>
    </w:p>
    <w:p w14:paraId="5C86D32D" w14:textId="77777777" w:rsidR="006769FF" w:rsidRPr="00D40354" w:rsidRDefault="0073452D" w:rsidP="0073452D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Fluid therapy may be required to maintain hydration</w:t>
      </w:r>
    </w:p>
    <w:p w14:paraId="3B6042C9" w14:textId="021D188C" w:rsidR="0073452D" w:rsidRPr="00D40354" w:rsidRDefault="0073452D" w:rsidP="0073452D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Treatment on the farm or referral to a hospital may be appropriate depending on the severity of the case and the resources available</w:t>
      </w:r>
    </w:p>
    <w:p w14:paraId="40036369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45107450" w14:textId="26D477C4" w:rsidR="006769FF" w:rsidRPr="00D40354" w:rsidRDefault="000B25B8" w:rsidP="00AE30C2">
      <w:pPr>
        <w:spacing w:after="0" w:line="240" w:lineRule="auto"/>
        <w:outlineLvl w:val="0"/>
        <w:rPr>
          <w:rFonts w:ascii="Calibri" w:hAnsi="Calibri"/>
          <w:b/>
          <w:i/>
        </w:rPr>
      </w:pPr>
      <w:r w:rsidRPr="0030648F">
        <w:rPr>
          <w:rFonts w:ascii="Calibri" w:hAnsi="Calibri"/>
          <w:b/>
        </w:rPr>
        <w:t>Activity</w:t>
      </w:r>
    </w:p>
    <w:p w14:paraId="234B0159" w14:textId="1E75609E" w:rsidR="006769FF" w:rsidRPr="00D40354" w:rsidRDefault="0049305D" w:rsidP="00AE30C2">
      <w:pPr>
        <w:spacing w:after="0" w:line="240" w:lineRule="auto"/>
        <w:outlineLvl w:val="0"/>
        <w:rPr>
          <w:rFonts w:ascii="Calibri" w:hAnsi="Calibri"/>
        </w:rPr>
      </w:pPr>
      <w:r w:rsidRPr="00D40354">
        <w:rPr>
          <w:rFonts w:ascii="Calibri" w:hAnsi="Calibri"/>
        </w:rPr>
        <w:t xml:space="preserve">• </w:t>
      </w:r>
      <w:r w:rsidR="004F7D9C" w:rsidRPr="00D40354">
        <w:rPr>
          <w:rFonts w:ascii="Calibri" w:hAnsi="Calibri"/>
        </w:rPr>
        <w:t>Restrict activity as much as possible through confinement and the use of sedative medications</w:t>
      </w:r>
    </w:p>
    <w:p w14:paraId="0C2AAB09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27F0A9D8" w14:textId="0B9271F6" w:rsidR="006769FF" w:rsidRPr="00D40354" w:rsidRDefault="000B25B8" w:rsidP="00AE30C2">
      <w:pPr>
        <w:spacing w:after="0" w:line="240" w:lineRule="auto"/>
        <w:outlineLvl w:val="0"/>
        <w:rPr>
          <w:rFonts w:ascii="Calibri" w:hAnsi="Calibri"/>
          <w:b/>
          <w:i/>
        </w:rPr>
      </w:pPr>
      <w:r w:rsidRPr="0030648F">
        <w:rPr>
          <w:rFonts w:ascii="Calibri" w:hAnsi="Calibri"/>
          <w:b/>
        </w:rPr>
        <w:t>Diet</w:t>
      </w:r>
    </w:p>
    <w:p w14:paraId="56B08B8C" w14:textId="144F21DC" w:rsidR="006769FF" w:rsidRPr="00D40354" w:rsidRDefault="004F7D9C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High-quality feed and free</w:t>
      </w:r>
      <w:r w:rsidR="0049305D" w:rsidRPr="00D40354">
        <w:rPr>
          <w:rFonts w:ascii="Calibri" w:hAnsi="Calibri"/>
        </w:rPr>
        <w:t>-</w:t>
      </w:r>
      <w:r w:rsidRPr="00D40354">
        <w:rPr>
          <w:rFonts w:ascii="Calibri" w:hAnsi="Calibri"/>
        </w:rPr>
        <w:t>choice water should be made easily accessible</w:t>
      </w:r>
    </w:p>
    <w:p w14:paraId="4DE67005" w14:textId="3AD2C2C6" w:rsidR="004F7D9C" w:rsidRPr="00D40354" w:rsidRDefault="004F7D9C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Horses that cannot swallow may require feeding by tube</w:t>
      </w:r>
    </w:p>
    <w:p w14:paraId="51FC45AF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50FCC616" w14:textId="1EEBAA98" w:rsidR="006769FF" w:rsidRPr="0030648F" w:rsidRDefault="000B25B8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30648F">
        <w:rPr>
          <w:rFonts w:ascii="Calibri" w:hAnsi="Calibri"/>
          <w:b/>
        </w:rPr>
        <w:t>Surgical Considerations</w:t>
      </w:r>
    </w:p>
    <w:p w14:paraId="0C4822BF" w14:textId="30B7FCDF" w:rsidR="000B25B8" w:rsidRPr="00D40354" w:rsidRDefault="004F7D9C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</w:t>
      </w:r>
      <w:r w:rsidR="0049305D" w:rsidRPr="00D40354">
        <w:rPr>
          <w:rFonts w:ascii="Calibri" w:hAnsi="Calibri"/>
        </w:rPr>
        <w:t xml:space="preserve"> </w:t>
      </w:r>
      <w:r w:rsidRPr="00D40354">
        <w:rPr>
          <w:rFonts w:ascii="Calibri" w:hAnsi="Calibri"/>
        </w:rPr>
        <w:t>Surgical treatment of the original wound may be necessary to help eliminate infection</w:t>
      </w:r>
    </w:p>
    <w:p w14:paraId="5DCC8291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5EB7B05A" w14:textId="386A36FE" w:rsidR="006769FF" w:rsidRPr="007B18E0" w:rsidRDefault="000B25B8" w:rsidP="00AE30C2">
      <w:pPr>
        <w:spacing w:after="0" w:line="240" w:lineRule="auto"/>
        <w:outlineLvl w:val="0"/>
        <w:rPr>
          <w:rFonts w:ascii="Calibri" w:hAnsi="Calibri"/>
          <w:b/>
          <w:sz w:val="28"/>
          <w:szCs w:val="28"/>
        </w:rPr>
      </w:pPr>
      <w:r w:rsidRPr="007B18E0">
        <w:rPr>
          <w:rFonts w:ascii="Calibri" w:hAnsi="Calibri"/>
          <w:b/>
          <w:sz w:val="28"/>
          <w:szCs w:val="28"/>
        </w:rPr>
        <w:t>Medications</w:t>
      </w:r>
    </w:p>
    <w:p w14:paraId="47F55F1C" w14:textId="6DFCC280" w:rsidR="006769FF" w:rsidRPr="00D40354" w:rsidRDefault="004F7D9C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Tetanus antitoxin may be given intravenously, in the muscle, at the wound site, or into the spinal fluid (in some cases)</w:t>
      </w:r>
    </w:p>
    <w:p w14:paraId="2B4E9D06" w14:textId="77777777" w:rsidR="00A87A77" w:rsidRPr="00D40354" w:rsidRDefault="00A87A77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Sedation (acepromazine, phenobarbital) to relax the horse</w:t>
      </w:r>
    </w:p>
    <w:p w14:paraId="01EABF95" w14:textId="77777777" w:rsidR="00A87A77" w:rsidRPr="00D40354" w:rsidRDefault="00A87A77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Antibiotics (usually penicillin) to help eliminate the infection</w:t>
      </w:r>
    </w:p>
    <w:p w14:paraId="25C466C9" w14:textId="6DBD3CC7" w:rsidR="00997B14" w:rsidRPr="00D40354" w:rsidRDefault="00997B14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Vaccination with tetanus toxoid</w:t>
      </w:r>
      <w:r w:rsidR="00D40354" w:rsidRPr="00D40354">
        <w:rPr>
          <w:rFonts w:ascii="Calibri" w:hAnsi="Calibri"/>
        </w:rPr>
        <w:t>—</w:t>
      </w:r>
      <w:r w:rsidRPr="00D40354">
        <w:rPr>
          <w:rFonts w:ascii="Calibri" w:hAnsi="Calibri"/>
        </w:rPr>
        <w:t>the disease itself does not result in an immune response</w:t>
      </w:r>
    </w:p>
    <w:p w14:paraId="427557A6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185EAE28" w14:textId="5AD1ECC6" w:rsidR="006769FF" w:rsidRPr="007B18E0" w:rsidRDefault="000B25B8" w:rsidP="00AE30C2">
      <w:pPr>
        <w:spacing w:after="0" w:line="240" w:lineRule="auto"/>
        <w:outlineLvl w:val="0"/>
        <w:rPr>
          <w:rFonts w:ascii="Calibri" w:hAnsi="Calibri"/>
          <w:b/>
          <w:sz w:val="28"/>
          <w:szCs w:val="28"/>
        </w:rPr>
      </w:pPr>
      <w:r w:rsidRPr="007B18E0">
        <w:rPr>
          <w:rFonts w:ascii="Calibri" w:hAnsi="Calibri"/>
          <w:b/>
          <w:sz w:val="28"/>
          <w:szCs w:val="28"/>
        </w:rPr>
        <w:t>Follow-Up</w:t>
      </w:r>
    </w:p>
    <w:p w14:paraId="11DCA8BB" w14:textId="46526E4C" w:rsidR="006769FF" w:rsidRPr="0030648F" w:rsidRDefault="0038544F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30648F">
        <w:rPr>
          <w:rFonts w:ascii="Calibri" w:hAnsi="Calibri"/>
          <w:b/>
        </w:rPr>
        <w:t>Patient Monitoring</w:t>
      </w:r>
    </w:p>
    <w:p w14:paraId="5941BE6A" w14:textId="295A12BD" w:rsidR="0038544F" w:rsidRPr="00D40354" w:rsidRDefault="00997B14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Regular monitoring by a veterinarian is required, and in severe cases intensive care</w:t>
      </w:r>
    </w:p>
    <w:p w14:paraId="1279BE75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1908D9FD" w14:textId="0C7F80B8" w:rsidR="006769FF" w:rsidRPr="0030648F" w:rsidRDefault="0038544F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30648F">
        <w:rPr>
          <w:rFonts w:ascii="Calibri" w:hAnsi="Calibri"/>
          <w:b/>
        </w:rPr>
        <w:t>Possible Complications</w:t>
      </w:r>
    </w:p>
    <w:p w14:paraId="039F7EFA" w14:textId="77777777" w:rsidR="00997B14" w:rsidRPr="0030648F" w:rsidRDefault="00997B14" w:rsidP="00997B14">
      <w:pPr>
        <w:spacing w:after="0" w:line="240" w:lineRule="auto"/>
        <w:rPr>
          <w:rFonts w:ascii="Calibri" w:hAnsi="Calibri"/>
        </w:rPr>
      </w:pPr>
      <w:r w:rsidRPr="0030648F">
        <w:rPr>
          <w:rFonts w:ascii="Calibri" w:hAnsi="Calibri"/>
        </w:rPr>
        <w:t>• Muscle damage (myopathy)</w:t>
      </w:r>
    </w:p>
    <w:p w14:paraId="18D6FBEA" w14:textId="77777777" w:rsidR="00997B14" w:rsidRPr="0030648F" w:rsidRDefault="00997B14" w:rsidP="00997B14">
      <w:pPr>
        <w:spacing w:after="0" w:line="240" w:lineRule="auto"/>
        <w:rPr>
          <w:rFonts w:ascii="Calibri" w:hAnsi="Calibri"/>
        </w:rPr>
      </w:pPr>
      <w:r w:rsidRPr="0030648F">
        <w:rPr>
          <w:rFonts w:ascii="Calibri" w:hAnsi="Calibri"/>
        </w:rPr>
        <w:t>• Aspiration pneumonia</w:t>
      </w:r>
    </w:p>
    <w:p w14:paraId="0A8AF13D" w14:textId="6944F805" w:rsidR="00997B14" w:rsidRPr="0030648F" w:rsidRDefault="00997B14" w:rsidP="00997B14">
      <w:pPr>
        <w:spacing w:after="0" w:line="240" w:lineRule="auto"/>
        <w:rPr>
          <w:rFonts w:ascii="Calibri" w:hAnsi="Calibri"/>
        </w:rPr>
      </w:pPr>
      <w:r w:rsidRPr="0030648F">
        <w:rPr>
          <w:rFonts w:ascii="Calibri" w:hAnsi="Calibri"/>
        </w:rPr>
        <w:t>• Trauma (fractures, pressure sores</w:t>
      </w:r>
      <w:r w:rsidRPr="00D40354">
        <w:rPr>
          <w:rFonts w:ascii="Calibri" w:hAnsi="Calibri"/>
        </w:rPr>
        <w:t>)</w:t>
      </w:r>
    </w:p>
    <w:p w14:paraId="0F55719A" w14:textId="15EBB70E" w:rsidR="00997B14" w:rsidRPr="00D40354" w:rsidRDefault="00997B14" w:rsidP="00997B14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Death due to respiratory failure can occur</w:t>
      </w:r>
    </w:p>
    <w:p w14:paraId="4FF13609" w14:textId="77777777" w:rsidR="007B18E0" w:rsidRDefault="007B18E0" w:rsidP="00AE30C2">
      <w:pPr>
        <w:spacing w:after="0" w:line="240" w:lineRule="auto"/>
        <w:outlineLvl w:val="0"/>
        <w:rPr>
          <w:rFonts w:ascii="Calibri" w:hAnsi="Calibri"/>
        </w:rPr>
      </w:pPr>
    </w:p>
    <w:p w14:paraId="355F76F1" w14:textId="518755BE" w:rsidR="006769FF" w:rsidRPr="0030648F" w:rsidRDefault="0038544F" w:rsidP="00AE30C2">
      <w:pPr>
        <w:spacing w:after="0" w:line="240" w:lineRule="auto"/>
        <w:outlineLvl w:val="0"/>
        <w:rPr>
          <w:rFonts w:ascii="Calibri" w:hAnsi="Calibri"/>
          <w:b/>
        </w:rPr>
      </w:pPr>
      <w:r w:rsidRPr="0030648F">
        <w:rPr>
          <w:rFonts w:ascii="Calibri" w:hAnsi="Calibri"/>
          <w:b/>
        </w:rPr>
        <w:t>Expected Course and Prognosis</w:t>
      </w:r>
    </w:p>
    <w:p w14:paraId="2A62BDDD" w14:textId="77777777" w:rsidR="00997B14" w:rsidRPr="00D40354" w:rsidRDefault="00997B14" w:rsidP="006F0FF5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 xml:space="preserve">• </w:t>
      </w:r>
      <w:r w:rsidR="006F0FF5" w:rsidRPr="00D40354">
        <w:rPr>
          <w:rFonts w:ascii="Calibri" w:hAnsi="Calibri"/>
        </w:rPr>
        <w:t>Horses that are down and unable to rise have a poor prognosis for survival</w:t>
      </w:r>
    </w:p>
    <w:p w14:paraId="291A979C" w14:textId="2181827C" w:rsidR="00997B14" w:rsidRPr="00D40354" w:rsidRDefault="00997B14" w:rsidP="00997B14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The signs may persist for weeks; however, survivors will generally stabilize after 7 days and begin to show improvement after 2 weeks</w:t>
      </w:r>
    </w:p>
    <w:p w14:paraId="7C370AB8" w14:textId="0077836D" w:rsidR="00997B14" w:rsidRPr="00D40354" w:rsidRDefault="00997B14" w:rsidP="00997B14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Recovery may take as long as 6 weeks but is usually complete</w:t>
      </w:r>
    </w:p>
    <w:p w14:paraId="66A326E2" w14:textId="03F99ECE" w:rsidR="00997B14" w:rsidRPr="00D40354" w:rsidRDefault="00997B14" w:rsidP="00997B14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 xml:space="preserve">• The attitude of the individual horse and the </w:t>
      </w:r>
      <w:r w:rsidR="00D40354" w:rsidRPr="00D40354">
        <w:rPr>
          <w:rFonts w:ascii="Calibri" w:hAnsi="Calibri"/>
        </w:rPr>
        <w:t xml:space="preserve">client’s </w:t>
      </w:r>
      <w:r w:rsidRPr="00D40354">
        <w:rPr>
          <w:rFonts w:ascii="Calibri" w:hAnsi="Calibri"/>
        </w:rPr>
        <w:t>ability to provide ideal nursing care are important factors affecting outcome</w:t>
      </w:r>
    </w:p>
    <w:p w14:paraId="1C1797A0" w14:textId="3A814626" w:rsidR="0038544F" w:rsidRPr="00D40354" w:rsidRDefault="00997B14" w:rsidP="00997B14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The overall mortality rate in horses is reported to be 50–80%</w:t>
      </w:r>
    </w:p>
    <w:p w14:paraId="5020A1B3" w14:textId="77777777" w:rsidR="006769FF" w:rsidRPr="00D40354" w:rsidRDefault="006769FF" w:rsidP="006769FF">
      <w:pPr>
        <w:spacing w:after="0" w:line="240" w:lineRule="auto"/>
        <w:rPr>
          <w:rFonts w:ascii="Calibri" w:hAnsi="Calibri"/>
        </w:rPr>
      </w:pPr>
    </w:p>
    <w:p w14:paraId="0EE8424C" w14:textId="321AEB47" w:rsidR="006769FF" w:rsidRPr="007B18E0" w:rsidRDefault="0038544F" w:rsidP="00AE30C2">
      <w:pPr>
        <w:spacing w:after="0" w:line="240" w:lineRule="auto"/>
        <w:outlineLvl w:val="0"/>
        <w:rPr>
          <w:rFonts w:ascii="Calibri" w:hAnsi="Calibri"/>
          <w:b/>
          <w:sz w:val="28"/>
          <w:szCs w:val="28"/>
        </w:rPr>
      </w:pPr>
      <w:r w:rsidRPr="007B18E0">
        <w:rPr>
          <w:rFonts w:ascii="Calibri" w:hAnsi="Calibri"/>
          <w:b/>
          <w:sz w:val="28"/>
          <w:szCs w:val="28"/>
        </w:rPr>
        <w:t>Key Points</w:t>
      </w:r>
    </w:p>
    <w:p w14:paraId="7F441128" w14:textId="77777777" w:rsidR="006F0FF5" w:rsidRPr="00D40354" w:rsidRDefault="006F0FF5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Tetanus is a severe disease that commonly leads to death</w:t>
      </w:r>
    </w:p>
    <w:p w14:paraId="71532A88" w14:textId="77777777" w:rsidR="008169CD" w:rsidRPr="00D40354" w:rsidRDefault="008169CD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With prompt access to appropriate care, up to 50% of horses with tetanus may survive</w:t>
      </w:r>
    </w:p>
    <w:p w14:paraId="1E939F1D" w14:textId="3B4D146F" w:rsidR="008169CD" w:rsidRPr="00D40354" w:rsidRDefault="008169CD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Survival is much more common in horses that retain the ability to stand, eat</w:t>
      </w:r>
      <w:r w:rsidR="00D40354" w:rsidRPr="00D40354">
        <w:rPr>
          <w:rFonts w:ascii="Calibri" w:hAnsi="Calibri"/>
        </w:rPr>
        <w:t>,</w:t>
      </w:r>
      <w:r w:rsidRPr="00D40354">
        <w:rPr>
          <w:rFonts w:ascii="Calibri" w:hAnsi="Calibri"/>
        </w:rPr>
        <w:t xml:space="preserve"> and drink</w:t>
      </w:r>
    </w:p>
    <w:p w14:paraId="204BF12E" w14:textId="77777777" w:rsidR="006769FF" w:rsidRPr="00D40354" w:rsidRDefault="006F0FF5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Vaccination for tetanus is highly effective</w:t>
      </w:r>
    </w:p>
    <w:p w14:paraId="1C703CCB" w14:textId="1715C2F0" w:rsidR="008169CD" w:rsidRPr="00D40354" w:rsidRDefault="006F0FF5" w:rsidP="006769FF">
      <w:pPr>
        <w:spacing w:after="0" w:line="240" w:lineRule="auto"/>
        <w:rPr>
          <w:rFonts w:ascii="Calibri" w:hAnsi="Calibri"/>
        </w:rPr>
      </w:pPr>
      <w:r w:rsidRPr="00D40354">
        <w:rPr>
          <w:rFonts w:ascii="Calibri" w:hAnsi="Calibri"/>
        </w:rPr>
        <w:t>• Unvaccinated horses with wounds (including surgery</w:t>
      </w:r>
      <w:r w:rsidR="00D40354" w:rsidRPr="00D40354">
        <w:rPr>
          <w:rFonts w:ascii="Calibri" w:hAnsi="Calibri"/>
        </w:rPr>
        <w:t>,</w:t>
      </w:r>
      <w:r w:rsidRPr="00D40354">
        <w:rPr>
          <w:rFonts w:ascii="Calibri" w:hAnsi="Calibri"/>
        </w:rPr>
        <w:t xml:space="preserve"> e.g. castration) should be vaccinated immediately and a tetanus antitoxin should also be given</w:t>
      </w:r>
    </w:p>
    <w:p w14:paraId="18D8EB60" w14:textId="77777777" w:rsidR="006F0FF5" w:rsidRPr="0030648F" w:rsidRDefault="006F0FF5" w:rsidP="0030648F">
      <w:pPr>
        <w:spacing w:after="0" w:line="240" w:lineRule="auto"/>
        <w:rPr>
          <w:rFonts w:ascii="Calibri" w:hAnsi="Calibri"/>
        </w:rPr>
      </w:pPr>
    </w:p>
    <w:p w14:paraId="19AFFD76" w14:textId="77777777" w:rsidR="005B3801" w:rsidRDefault="005B3801" w:rsidP="00CD504C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56EAC682" w14:textId="77777777" w:rsidR="005B3801" w:rsidRDefault="005B3801" w:rsidP="00CD504C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0F921D82" w14:textId="77777777" w:rsidR="005B3801" w:rsidRDefault="005B3801" w:rsidP="00CD504C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77D15171" w14:textId="77777777" w:rsidR="005B3801" w:rsidRDefault="005B3801" w:rsidP="00CD504C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6E65A016" w14:textId="77777777" w:rsidR="005B3801" w:rsidRDefault="005B3801" w:rsidP="00CD504C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157BDA55" w14:textId="4BBB5FD5" w:rsidR="00CD504C" w:rsidRPr="00D40354" w:rsidRDefault="00CD504C" w:rsidP="00CD504C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30648F"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19B32243" wp14:editId="0836114D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CD504C" w:rsidRPr="00D40354" w14:paraId="00322F7F" w14:textId="77777777" w:rsidTr="007A1FC3">
        <w:tc>
          <w:tcPr>
            <w:tcW w:w="10254" w:type="dxa"/>
          </w:tcPr>
          <w:p w14:paraId="4B73A4E7" w14:textId="77777777" w:rsidR="00CD504C" w:rsidRPr="00D40354" w:rsidRDefault="00CD504C" w:rsidP="007A1FC3">
            <w:pPr>
              <w:pStyle w:val="Notes"/>
            </w:pPr>
            <w:r w:rsidRPr="00D40354">
              <w:t>Enter notes here</w:t>
            </w:r>
          </w:p>
          <w:p w14:paraId="2E8A0A56" w14:textId="77777777" w:rsidR="00CD504C" w:rsidRPr="00D40354" w:rsidRDefault="00CD504C" w:rsidP="007A1FC3">
            <w:pPr>
              <w:pStyle w:val="Notes"/>
            </w:pPr>
          </w:p>
          <w:p w14:paraId="00BB459C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2B6A2646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24B128A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5130592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5C99489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154097A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FFC43DE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BC47E7A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C34FE8F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816B80C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A9F8731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5122CAE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548ECCB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9B122EE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B95CF9D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D4A9AFF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228DDC3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4D0535E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71AE23D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D6614A0" w14:textId="77777777" w:rsidR="00CD504C" w:rsidRPr="00D40354" w:rsidRDefault="00CD504C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2054C7DF" w14:textId="77777777" w:rsidR="00CD504C" w:rsidRPr="00D40354" w:rsidRDefault="00CD504C" w:rsidP="00CD504C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6F847A58" w14:textId="4ACEE9EA" w:rsidR="00CD504C" w:rsidRDefault="00CD504C" w:rsidP="0030648F">
      <w:pPr>
        <w:pStyle w:val="Bulletedtext"/>
        <w:numPr>
          <w:ilvl w:val="0"/>
          <w:numId w:val="0"/>
        </w:numPr>
        <w:tabs>
          <w:tab w:val="left" w:pos="720"/>
        </w:tabs>
        <w:outlineLvl w:val="0"/>
        <w:rPr>
          <w:rFonts w:ascii="Arial" w:hAnsi="Arial"/>
          <w:sz w:val="16"/>
        </w:rPr>
      </w:pPr>
    </w:p>
    <w:p w14:paraId="7EF08B0C" w14:textId="6D1351C7" w:rsidR="005B3801" w:rsidRDefault="005B3801" w:rsidP="0030648F">
      <w:pPr>
        <w:pStyle w:val="Bulletedtext"/>
        <w:numPr>
          <w:ilvl w:val="0"/>
          <w:numId w:val="0"/>
        </w:numPr>
        <w:tabs>
          <w:tab w:val="left" w:pos="720"/>
        </w:tabs>
        <w:outlineLvl w:val="0"/>
        <w:rPr>
          <w:rFonts w:ascii="Arial" w:hAnsi="Arial"/>
          <w:sz w:val="16"/>
        </w:rPr>
      </w:pPr>
    </w:p>
    <w:p w14:paraId="19353A67" w14:textId="2A0E45AE" w:rsidR="005B3801" w:rsidRDefault="005B3801" w:rsidP="0030648F">
      <w:pPr>
        <w:pStyle w:val="Bulletedtext"/>
        <w:numPr>
          <w:ilvl w:val="0"/>
          <w:numId w:val="0"/>
        </w:numPr>
        <w:tabs>
          <w:tab w:val="left" w:pos="720"/>
        </w:tabs>
        <w:outlineLvl w:val="0"/>
        <w:rPr>
          <w:rFonts w:ascii="Arial" w:hAnsi="Arial"/>
          <w:sz w:val="16"/>
        </w:rPr>
      </w:pPr>
    </w:p>
    <w:p w14:paraId="4580CD2F" w14:textId="77777777" w:rsidR="005B3801" w:rsidRPr="0060740E" w:rsidRDefault="005B3801" w:rsidP="005B3801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0093E9E6" w14:textId="77777777" w:rsidR="005B3801" w:rsidRPr="0030648F" w:rsidRDefault="005B3801" w:rsidP="0030648F">
      <w:pPr>
        <w:pStyle w:val="Bulletedtext"/>
        <w:numPr>
          <w:ilvl w:val="0"/>
          <w:numId w:val="0"/>
        </w:numPr>
        <w:tabs>
          <w:tab w:val="left" w:pos="720"/>
        </w:tabs>
        <w:outlineLvl w:val="0"/>
        <w:rPr>
          <w:rFonts w:ascii="Arial" w:hAnsi="Arial"/>
          <w:sz w:val="16"/>
        </w:rPr>
      </w:pPr>
      <w:bookmarkStart w:id="0" w:name="_GoBack"/>
      <w:bookmarkEnd w:id="0"/>
    </w:p>
    <w:sectPr w:rsidR="005B3801" w:rsidRPr="00306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Hiragino Mincho ProN W3"/>
    <w:charset w:val="80"/>
    <w:family w:val="roman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aco">
    <w:altName w:val="Arial Unicode MS"/>
    <w:charset w:val="00"/>
    <w:family w:val="swiss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3596000C"/>
    <w:multiLevelType w:val="hybridMultilevel"/>
    <w:tmpl w:val="1116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9FF"/>
    <w:rsid w:val="00046AC1"/>
    <w:rsid w:val="00050C7C"/>
    <w:rsid w:val="000B25B8"/>
    <w:rsid w:val="0024323B"/>
    <w:rsid w:val="0030648F"/>
    <w:rsid w:val="0031199D"/>
    <w:rsid w:val="003142DD"/>
    <w:rsid w:val="00342F08"/>
    <w:rsid w:val="0038544F"/>
    <w:rsid w:val="0049305D"/>
    <w:rsid w:val="004F7D9C"/>
    <w:rsid w:val="005236E1"/>
    <w:rsid w:val="005B3801"/>
    <w:rsid w:val="006769FF"/>
    <w:rsid w:val="006F0FF5"/>
    <w:rsid w:val="0073452D"/>
    <w:rsid w:val="00757DE9"/>
    <w:rsid w:val="007B18E0"/>
    <w:rsid w:val="007B5979"/>
    <w:rsid w:val="008169CD"/>
    <w:rsid w:val="00824D1A"/>
    <w:rsid w:val="009661ED"/>
    <w:rsid w:val="00997B14"/>
    <w:rsid w:val="00A87A77"/>
    <w:rsid w:val="00A92EC9"/>
    <w:rsid w:val="00AE30C2"/>
    <w:rsid w:val="00AF0312"/>
    <w:rsid w:val="00AF687E"/>
    <w:rsid w:val="00B91F93"/>
    <w:rsid w:val="00CB6A42"/>
    <w:rsid w:val="00CD504C"/>
    <w:rsid w:val="00D40354"/>
    <w:rsid w:val="00DE7130"/>
    <w:rsid w:val="00F2095A"/>
    <w:rsid w:val="00F2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5DC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99D"/>
    <w:pPr>
      <w:ind w:left="720"/>
      <w:contextualSpacing/>
    </w:pPr>
  </w:style>
  <w:style w:type="paragraph" w:customStyle="1" w:styleId="Bulletedtext">
    <w:name w:val="Bulleted text"/>
    <w:basedOn w:val="Normal"/>
    <w:rsid w:val="00CD504C"/>
    <w:pPr>
      <w:widowControl w:val="0"/>
      <w:numPr>
        <w:numId w:val="1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CD504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CD504C"/>
    <w:pPr>
      <w:ind w:left="58"/>
    </w:pPr>
    <w:rPr>
      <w:rFonts w:ascii="Georgia" w:eastAsia="Times-Roman" w:hAnsi="Georgia" w:cs="Georgia"/>
      <w:sz w:val="20"/>
      <w:szCs w:val="20"/>
    </w:rPr>
  </w:style>
  <w:style w:type="paragraph" w:customStyle="1" w:styleId="Contactinfo">
    <w:name w:val="Contact info"/>
    <w:basedOn w:val="Normal"/>
    <w:rsid w:val="00CD504C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D40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3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3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John Wiley and Sons, Inc.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3</cp:revision>
  <dcterms:created xsi:type="dcterms:W3CDTF">2019-08-12T11:12:00Z</dcterms:created>
  <dcterms:modified xsi:type="dcterms:W3CDTF">2019-08-12T12:25:00Z</dcterms:modified>
</cp:coreProperties>
</file>